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Questions to Ask an AI Vendor</w:t>
      </w:r>
    </w:p>
    <w:p>
      <w:pPr>
        <w:jc w:val="center"/>
      </w:pPr>
      <w:r>
        <w:t>[Name of Nation]  |  Bring this to every AI sales meeting</w:t>
      </w:r>
    </w:p>
    <w:p>
      <w:pPr>
        <w:pStyle w:val="Heading1"/>
      </w:pPr>
      <w:r>
        <w:t>How to use these questions</w:t>
      </w:r>
    </w:p>
    <w:p>
      <w:pPr>
        <w:pStyle w:val="ListBullet"/>
        <w:spacing w:after="80"/>
      </w:pPr>
      <w:r>
        <w:t>Ask for written answers before you sign anything. A good vendor will answer every question.</w:t>
      </w:r>
    </w:p>
    <w:p>
      <w:pPr>
        <w:pStyle w:val="ListBullet"/>
        <w:spacing w:after="80"/>
      </w:pPr>
      <w:r>
        <w:t>Use the same questions for new AI (artificial intelligence) tools and for AI features being switched on inside software you already pay for.</w:t>
      </w:r>
    </w:p>
    <w:p>
      <w:pPr>
        <w:pStyle w:val="ListBullet"/>
        <w:spacing w:after="80"/>
      </w:pPr>
      <w:r>
        <w:t>Attach the answers to the AI Use Review Checklist for this tool.</w:t>
      </w:r>
    </w:p>
    <w:p>
      <w:pPr>
        <w:pStyle w:val="ListBullet"/>
        <w:spacing w:after="240"/>
      </w:pPr>
      <w:r>
        <w:t>This is a sample list. Have your tribal legal counsel review any contract, including how it treats tribal law, jurisdiction, and sovereign immunity.</w:t>
      </w:r>
    </w:p>
    <w:p>
      <w:pPr>
        <w:pStyle w:val="Heading1"/>
      </w:pPr>
      <w:r>
        <w:t>Does it work for us?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2880"/>
      </w:tblGrid>
      <w:tr>
        <w:trPr>
          <w:tblHeader w:val="true"/>
        </w:trPr>
        <w:tc>
          <w:tcPr>
            <w:tcW w:type="dxa" w:w="360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Question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Why it matters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Vendor's answer</w:t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Will you test the tool on our own documents and show us the results?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A brochure is not proof. No AI is always right.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How often is it wrong, and how will we know when it is?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AI can sound sure and still be wrong.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Does every answer show where it came from?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Staff need to open the source and check.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What can a person override, and what happens if they do?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A trained person must stay in the loop.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Our data stays ours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2880"/>
      </w:tblGrid>
      <w:tr>
        <w:trPr>
          <w:tblHeader w:val="true"/>
        </w:trPr>
        <w:tc>
          <w:tcPr>
            <w:tcW w:type="dxa" w:w="360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Question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Why it matters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Vendor's answer</w:t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Will you use our data to train or improve your AI, or anyone else's?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The contract should say no.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Where is our data stored, and in which state or country?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We decide where our information goes.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How long do you keep our data, prompts, and results?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Short, written limits protect our people.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Who at your company, or your subcontractors, can see our data?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Fewer people means less risk.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Can our Sacred or Regulated information be kept out of your system completely?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Some information never leaves tribal control.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Security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2880"/>
      </w:tblGrid>
      <w:tr>
        <w:trPr>
          <w:tblHeader w:val="true"/>
        </w:trPr>
        <w:tc>
          <w:tcPr>
            <w:tcW w:type="dxa" w:w="360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Question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Why it matters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Vendor's answer</w:t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Has the tool had an outside security review? May we see a summary?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Ask for proof, not promises.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How do you protect against hidden instructions (prompt injection)?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Security agencies warn this may never be fully fixed, so limits on what the AI can do matter.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Can the AI send, pay, delete, or change records on its own? Can we turn that off?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Nothing should happen until a person approves it.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How quickly will you tell us about a breach or an incident?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Get a number of days in writing.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The true cost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2880"/>
      </w:tblGrid>
      <w:tr>
        <w:trPr>
          <w:tblHeader w:val="true"/>
        </w:trPr>
        <w:tc>
          <w:tcPr>
            <w:tcW w:type="dxa" w:w="360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Question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Why it matters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Vendor's answer</w:t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What is the full monthly cost, including licenses, per-use fees, and data fees?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The price is only part of the cost.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What will training, support, and setup cost?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Count staff time too.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How much can the price go up each year?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Avoid surprises at renewal.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Can we start with a small pilot before a long contract?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Start small, measure, then decide.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A way out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2880"/>
      </w:tblGrid>
      <w:tr>
        <w:trPr>
          <w:tblHeader w:val="true"/>
        </w:trPr>
        <w:tc>
          <w:tcPr>
            <w:tcW w:type="dxa" w:w="360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Question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Why it matters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Vendor's answer</w:t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How do we get all of our data back, and in what format?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Avoid vendor lock-in.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Will you confirm in writing that our data is deleted when we leave?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This is Gate 5: Retire.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What happens to our data if your company is sold or closes?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Our data stays ours.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AI already inside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2880"/>
      </w:tblGrid>
      <w:tr>
        <w:trPr>
          <w:tblHeader w:val="true"/>
        </w:trPr>
        <w:tc>
          <w:tcPr>
            <w:tcW w:type="dxa" w:w="360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Question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Why it matters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Vendor's answer</w:t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Which AI features are already in software we pay for, and are they on by default?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Many vendors are adding AI to existing products.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Can we turn each AI feature off, for everyone or for some staff?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Apply our rules before it is used.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Power and water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2880"/>
        <w:gridCol w:w="2880"/>
      </w:tblGrid>
      <w:tr>
        <w:trPr>
          <w:tblHeader w:val="true"/>
        </w:trPr>
        <w:tc>
          <w:tcPr>
            <w:tcW w:type="dxa" w:w="360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Question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Why it matters</w:t>
            </w:r>
          </w:p>
        </w:tc>
        <w:tc>
          <w:tcPr>
            <w:tcW w:type="dxa" w:w="2880"/>
          </w:tcPr>
          <w:p>
            <w:pPr>
              <w:spacing w:after="0"/>
              <w:jc w:val="center"/>
            </w:pPr>
            <w:r/>
            <w:r>
              <w:rPr>
                <w:rFonts w:ascii="Helvetica" w:hAnsi="Helvetica" w:cs="Helvetica" w:eastAsia="Helvetica"/>
                <w:b/>
                <w:sz w:val="22"/>
              </w:rPr>
              <w:t>Vendor's answer</w:t>
            </w:r>
          </w:p>
        </w:tc>
      </w:tr>
      <w:tr>
        <w:tc>
          <w:tcPr>
            <w:tcW w:type="dxa" w:w="360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Where does the AI run, and is a smaller tool enough for our job?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  <w:t>Big data centers use a lot of electricity and often water for cooling.</w:t>
            </w:r>
          </w:p>
        </w:tc>
        <w:tc>
          <w:tcPr>
            <w:tcW w:type="dxa" w:w="2880"/>
          </w:tcPr>
          <w:p>
            <w:pPr>
              <w:spacing w:after="0"/>
            </w:pPr>
            <w:r/>
            <w:r>
              <w:rPr>
                <w:rFonts w:ascii="Helvetica" w:hAnsi="Helvetica" w:cs="Helvetica" w:eastAsia="Helvetica"/>
                <w:b w:val="0"/>
                <w:sz w:val="22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Red flags</w:t>
      </w:r>
    </w:p>
    <w:p>
      <w:pPr>
        <w:pStyle w:val="ListBullet"/>
        <w:spacing w:after="80"/>
      </w:pPr>
      <w:r>
        <w:t>"Our AI is always 100 percent accurate."</w:t>
      </w:r>
    </w:p>
    <w:p>
      <w:pPr>
        <w:pStyle w:val="ListBullet"/>
        <w:spacing w:after="80"/>
      </w:pPr>
      <w:r>
        <w:t>The vendor will not let you test the tool on your own documents.</w:t>
      </w:r>
    </w:p>
    <w:p>
      <w:pPr>
        <w:pStyle w:val="ListBullet"/>
        <w:spacing w:after="80"/>
      </w:pPr>
      <w:r>
        <w:t>Vague answers about training on your data, or where your data is kept.</w:t>
      </w:r>
    </w:p>
    <w:p>
      <w:pPr>
        <w:pStyle w:val="ListBullet"/>
        <w:spacing w:after="80"/>
      </w:pPr>
      <w:r>
        <w:t>No way to get your data back, or no written promise to delete it.</w:t>
      </w:r>
    </w:p>
    <w:p>
      <w:pPr>
        <w:pStyle w:val="ListBullet"/>
        <w:spacing w:after="240"/>
      </w:pPr>
      <w:r>
        <w:t>Pressure to sign quickly, or a long contract with no pilot.</w:t>
      </w:r>
    </w:p>
    <w:p>
      <w:pPr>
        <w:pStyle w:val="Heading1"/>
      </w:pPr>
      <w:r>
        <w:t>Our decision</w:t>
      </w:r>
    </w:p>
    <w:p>
      <w:r>
        <w:t>Vendor and tool:  ________________________________________</w:t>
      </w:r>
    </w:p>
    <w:p>
      <w:r>
        <w:t>Meeting date:  ______________     Answers received in writing:  ☐ Yes     ☐ No</w:t>
      </w:r>
    </w:p>
    <w:p>
      <w:r>
        <w:t>Recommendation:  ☐ Move to a pilot     ☐ Ask more questions     ☐ Do not buy</w:t>
      </w:r>
    </w:p>
    <w:p>
      <w:r>
        <w:t>Reviewed by:  ______________________________     Date:  ______________</w:t>
      </w:r>
    </w:p>
    <w:p>
      <w:pPr>
        <w:pStyle w:val="Title"/>
      </w:pPr>
      <w:r>
        <w:t>References</w:t>
      </w:r>
    </w:p>
    <w:p>
      <w:pPr>
        <w:spacing w:line="480" w:lineRule="auto" w:after="0"/>
        <w:ind w:left="720" w:hanging="720"/>
      </w:pPr>
      <w:r>
        <w:t xml:space="preserve">International Energy Agency. (2025). </w:t>
      </w:r>
      <w:r>
        <w:rPr>
          <w:i/>
        </w:rPr>
        <w:t>Energy and AI</w:t>
      </w:r>
      <w:r>
        <w:t>. https://www.iea.org/reports/energy-and-ai</w:t>
      </w:r>
    </w:p>
    <w:p>
      <w:pPr>
        <w:spacing w:line="480" w:lineRule="auto" w:after="0"/>
        <w:ind w:left="720" w:hanging="720"/>
      </w:pPr>
      <w:r>
        <w:t xml:space="preserve">National Cyber Security Centre. (2025, December 8). </w:t>
      </w:r>
      <w:r>
        <w:rPr>
          <w:i/>
        </w:rPr>
        <w:t>Prompt injection is not SQL injection (it may be worse)</w:t>
      </w:r>
      <w:r>
        <w:t>. https://www.ncsc.gov.uk/blog-post/prompt-injection-is-not-sql-injection</w:t>
      </w:r>
    </w:p>
    <w:p>
      <w:pPr>
        <w:spacing w:line="480" w:lineRule="auto" w:after="0"/>
        <w:ind w:left="720" w:hanging="720"/>
      </w:pPr>
      <w:r>
        <w:t xml:space="preserve">National Institute of Standards and Technology. (2023). </w:t>
      </w:r>
      <w:r>
        <w:rPr>
          <w:i/>
        </w:rPr>
        <w:t>Artificial intelligence risk management framework (AI RMF 1.0)</w:t>
      </w:r>
      <w:r>
        <w:t xml:space="preserve"> (NIST AI 100-1). https://doi.org/10.6028/NIST.AI.100-1</w:t>
      </w:r>
    </w:p>
    <w:p>
      <w:pPr>
        <w:spacing w:line="480" w:lineRule="auto" w:after="0"/>
        <w:ind w:left="720" w:hanging="720"/>
      </w:pPr>
      <w:r>
        <w:t xml:space="preserve">National Institute of Standards and Technology. (2024). </w:t>
      </w:r>
      <w:r>
        <w:rPr>
          <w:i/>
        </w:rPr>
        <w:t>Artificial intelligence risk management framework: Generative artificial intelligence profile</w:t>
      </w:r>
      <w:r>
        <w:t xml:space="preserve"> (NIST AI 600-1). https://doi.org/10.6028/NIST.AI.600-1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Helvetica" w:hAnsi="Helvetica" w:cs="Helvetica" w:eastAsia="Helvetica"/>
        <w:b w:val="0"/>
        <w:sz w:val="18"/>
      </w:rPr>
      <w:t>Numu Communications Learning Center  |  www.numu.tech/resources  |  Free to use and adapt; please keep this credit.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40" w:line="240" w:lineRule="auto"/>
      <w:jc w:val="left"/>
    </w:pPr>
    <w:rPr>
      <w:rFonts w:ascii="Helvetica" w:hAnsi="Helvetica" w:cs="Helvetica" w:eastAsia="Helvetica"/>
      <w:b w:val="0"/>
      <w:i w:val="0"/>
      <w:color w:val="14233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 w:line="240" w:lineRule="auto"/>
      <w:jc w:val="left"/>
      <w:outlineLvl w:val="0"/>
    </w:pPr>
    <w:rPr>
      <w:rFonts w:asciiTheme="majorHAnsi" w:eastAsiaTheme="majorEastAsia" w:hAnsiTheme="majorHAnsi" w:cstheme="majorBidi" w:ascii="Helvetica" w:hAnsi="Helvetica" w:cs="Helvetica" w:eastAsia="Helvetica"/>
      <w:b/>
      <w:bCs/>
      <w:i w:val="0"/>
      <w:color w:val="006B3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240" w:line="240" w:lineRule="auto"/>
      <w:jc w:val="left"/>
      <w:outlineLvl w:val="1"/>
    </w:pPr>
    <w:rPr>
      <w:rFonts w:asciiTheme="majorHAnsi" w:eastAsiaTheme="majorEastAsia" w:hAnsiTheme="majorHAnsi" w:cstheme="majorBidi" w:ascii="Helvetica Light" w:hAnsi="Helvetica Light" w:cs="Helvetica Light" w:eastAsia="Helvetica Light"/>
      <w:b/>
      <w:bCs/>
      <w:i w:val="0"/>
      <w:color w:val="1423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  <w:jc w:val="center"/>
    </w:pPr>
    <w:rPr>
      <w:rFonts w:asciiTheme="majorHAnsi" w:eastAsiaTheme="majorEastAsia" w:hAnsiTheme="majorHAnsi" w:cstheme="majorBidi" w:ascii="Helvetica" w:hAnsi="Helvetica" w:cs="Helvetica" w:eastAsia="Helvetica"/>
      <w:b/>
      <w:i w:val="0"/>
      <w:color w:val="006B31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240" w:line="240" w:lineRule="auto"/>
      <w:contextualSpacing/>
      <w:jc w:val="left"/>
    </w:pPr>
    <w:rPr>
      <w:rFonts w:ascii="Helvetica" w:hAnsi="Helvetica" w:cs="Helvetica" w:eastAsia="Helvetica"/>
      <w:b w:val="0"/>
      <w:i w:val="0"/>
      <w:color w:val="14233A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240" w:line="240" w:lineRule="auto"/>
      <w:contextualSpacing/>
      <w:jc w:val="left"/>
    </w:pPr>
    <w:rPr>
      <w:rFonts w:ascii="Helvetica" w:hAnsi="Helvetica" w:cs="Helvetica" w:eastAsia="Helvetica"/>
      <w:b w:val="0"/>
      <w:i w:val="0"/>
      <w:color w:val="14233A"/>
      <w:sz w:val="24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