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BIA Right-of-Way Readiness Checklist</w:t>
      </w:r>
    </w:p>
    <w:p>
      <w:pPr>
        <w:jc w:val="center"/>
      </w:pPr>
      <w:r>
        <w:t>For broadband projects on tribal land and individually owned Indian land under 25 CFR Part 169</w:t>
      </w:r>
    </w:p>
    <w:p>
      <w:r>
        <w:rPr>
          <w:b/>
        </w:rPr>
        <w:t>General information, not legal advice.</w:t>
      </w:r>
      <w:r>
        <w:t xml:space="preserve"> This is an editable starting point, not a legal form. Work with your BIA (Bureau of Indian Affairs) Agency realty office and your tribal legal counsel on every project, and check the current 25 CFR (Code of Federal Regulations) Part 169 on eCFR (the Electronic Code of Federal Regulations, www.ecfr.gov) before you act. Rules and policies change.</w:t>
      </w:r>
    </w:p>
    <w:p>
      <w:pPr>
        <w:pStyle w:val="Heading1"/>
      </w:pPr>
      <w:r>
        <w:t>How to use this checklist</w:t>
      </w:r>
    </w:p>
    <w:p>
      <w:r>
        <w:t>Go through this list with your realty, planning, utility, and legal staff before you send a right-of-way (ROW) package to BIA. Check each box when the item is done, and use the Notes column for dates, names, and file locations. Section numbers refer to 25 CFR Part 169 unless noted. Use one checklist per application.</w:t>
      </w:r>
    </w:p>
    <w:p>
      <w:pPr>
        <w:pStyle w:val="Heading1"/>
      </w:pPr>
      <w:r>
        <w:t>Project information</w:t>
      </w:r>
    </w:p>
    <w:tbl>
      <w:tblPr>
        <w:tblStyle w:val="TableGrid"/>
        <w:tblW w:type="auto" w:w="0"/>
        <w:jc w:val="center"/>
        <w:tblLayout w:type="fixed"/>
        <w:tblLook w:firstColumn="1" w:firstRow="1" w:lastColumn="0" w:lastRow="0" w:noHBand="0" w:noVBand="1" w:val="04A0"/>
      </w:tblPr>
      <w:tblGrid>
        <w:gridCol w:w="3744"/>
        <w:gridCol w:w="5616"/>
      </w:tblGrid>
      <w:tr>
        <w:trPr>
          <w:tblHeader w:val="true"/>
          <w:cantSplit w:val="true"/>
        </w:trPr>
        <w:tc>
          <w:tcPr>
            <w:tcW w:type="dxa" w:w="3744"/>
          </w:tcPr>
          <w:p>
            <w:pPr>
              <w:spacing w:after="0"/>
              <w:jc w:val="center"/>
            </w:pPr>
            <w:r/>
            <w:r>
              <w:rPr>
                <w:rFonts w:ascii="Helvetica" w:hAnsi="Helvetica" w:cs="Helvetica" w:eastAsia="Helvetica"/>
                <w:b/>
                <w:sz w:val="22"/>
              </w:rPr>
              <w:t>Item</w:t>
            </w:r>
          </w:p>
        </w:tc>
        <w:tc>
          <w:tcPr>
            <w:tcW w:type="dxa" w:w="5616"/>
          </w:tcPr>
          <w:p>
            <w:pPr>
              <w:spacing w:after="0"/>
              <w:jc w:val="center"/>
            </w:pPr>
            <w:r/>
            <w:r>
              <w:rPr>
                <w:rFonts w:ascii="Helvetica" w:hAnsi="Helvetica" w:cs="Helvetica" w:eastAsia="Helvetica"/>
                <w:b/>
                <w:sz w:val="22"/>
              </w:rPr>
              <w:t>Fill in</w:t>
            </w:r>
          </w:p>
        </w:tc>
      </w:tr>
      <w:tr>
        <w:trPr>
          <w:cantSplit w:val="true"/>
        </w:trPr>
        <w:tc>
          <w:tcPr>
            <w:tcW w:type="dxa" w:w="3744"/>
          </w:tcPr>
          <w:p>
            <w:pPr>
              <w:spacing w:after="0"/>
            </w:pPr>
            <w:r/>
            <w:r>
              <w:rPr>
                <w:rFonts w:ascii="Helvetica" w:hAnsi="Helvetica" w:cs="Helvetica" w:eastAsia="Helvetica"/>
                <w:b w:val="0"/>
                <w:sz w:val="22"/>
              </w:rPr>
              <w:t>Project name</w:t>
            </w:r>
          </w:p>
        </w:tc>
        <w:tc>
          <w:tcPr>
            <w:tcW w:type="dxa" w:w="5616"/>
          </w:tcPr>
          <w:p>
            <w:pPr>
              <w:spacing w:after="0"/>
            </w:pPr>
            <w:r/>
            <w:r>
              <w:rPr>
                <w:rFonts w:ascii="Helvetica" w:hAnsi="Helvetica" w:cs="Helvetica" w:eastAsia="Helvetica"/>
                <w:b w:val="0"/>
                <w:sz w:val="22"/>
              </w:rPr>
            </w:r>
          </w:p>
        </w:tc>
      </w:tr>
      <w:tr>
        <w:trPr>
          <w:cantSplit w:val="true"/>
        </w:trPr>
        <w:tc>
          <w:tcPr>
            <w:tcW w:type="dxa" w:w="3744"/>
          </w:tcPr>
          <w:p>
            <w:pPr>
              <w:spacing w:after="0"/>
            </w:pPr>
            <w:r/>
            <w:r>
              <w:rPr>
                <w:rFonts w:ascii="Helvetica" w:hAnsi="Helvetica" w:cs="Helvetica" w:eastAsia="Helvetica"/>
                <w:b w:val="0"/>
                <w:sz w:val="22"/>
              </w:rPr>
              <w:t>Applicant (utility or company)</w:t>
            </w:r>
          </w:p>
        </w:tc>
        <w:tc>
          <w:tcPr>
            <w:tcW w:type="dxa" w:w="5616"/>
          </w:tcPr>
          <w:p>
            <w:pPr>
              <w:spacing w:after="0"/>
            </w:pPr>
            <w:r/>
            <w:r>
              <w:rPr>
                <w:rFonts w:ascii="Helvetica" w:hAnsi="Helvetica" w:cs="Helvetica" w:eastAsia="Helvetica"/>
                <w:b w:val="0"/>
                <w:sz w:val="22"/>
              </w:rPr>
            </w:r>
          </w:p>
        </w:tc>
      </w:tr>
      <w:tr>
        <w:trPr>
          <w:cantSplit w:val="true"/>
        </w:trPr>
        <w:tc>
          <w:tcPr>
            <w:tcW w:type="dxa" w:w="3744"/>
          </w:tcPr>
          <w:p>
            <w:pPr>
              <w:spacing w:after="0"/>
            </w:pPr>
            <w:r/>
            <w:r>
              <w:rPr>
                <w:rFonts w:ascii="Helvetica" w:hAnsi="Helvetica" w:cs="Helvetica" w:eastAsia="Helvetica"/>
                <w:b w:val="0"/>
                <w:sz w:val="22"/>
              </w:rPr>
              <w:t>Tribe</w:t>
            </w:r>
          </w:p>
        </w:tc>
        <w:tc>
          <w:tcPr>
            <w:tcW w:type="dxa" w:w="5616"/>
          </w:tcPr>
          <w:p>
            <w:pPr>
              <w:spacing w:after="0"/>
            </w:pPr>
            <w:r/>
            <w:r>
              <w:rPr>
                <w:rFonts w:ascii="Helvetica" w:hAnsi="Helvetica" w:cs="Helvetica" w:eastAsia="Helvetica"/>
                <w:b w:val="0"/>
                <w:sz w:val="22"/>
              </w:rPr>
            </w:r>
          </w:p>
        </w:tc>
      </w:tr>
      <w:tr>
        <w:trPr>
          <w:cantSplit w:val="true"/>
        </w:trPr>
        <w:tc>
          <w:tcPr>
            <w:tcW w:type="dxa" w:w="3744"/>
          </w:tcPr>
          <w:p>
            <w:pPr>
              <w:spacing w:after="0"/>
            </w:pPr>
            <w:r/>
            <w:r>
              <w:rPr>
                <w:rFonts w:ascii="Helvetica" w:hAnsi="Helvetica" w:cs="Helvetica" w:eastAsia="Helvetica"/>
                <w:b w:val="0"/>
                <w:sz w:val="22"/>
              </w:rPr>
              <w:t>BIA Agency and realty contact</w:t>
            </w:r>
          </w:p>
        </w:tc>
        <w:tc>
          <w:tcPr>
            <w:tcW w:type="dxa" w:w="5616"/>
          </w:tcPr>
          <w:p>
            <w:pPr>
              <w:spacing w:after="0"/>
            </w:pPr>
            <w:r/>
            <w:r>
              <w:rPr>
                <w:rFonts w:ascii="Helvetica" w:hAnsi="Helvetica" w:cs="Helvetica" w:eastAsia="Helvetica"/>
                <w:b w:val="0"/>
                <w:sz w:val="22"/>
              </w:rPr>
            </w:r>
          </w:p>
        </w:tc>
      </w:tr>
      <w:tr>
        <w:trPr>
          <w:cantSplit w:val="true"/>
        </w:trPr>
        <w:tc>
          <w:tcPr>
            <w:tcW w:type="dxa" w:w="3744"/>
          </w:tcPr>
          <w:p>
            <w:pPr>
              <w:spacing w:after="0"/>
            </w:pPr>
            <w:r/>
            <w:r>
              <w:rPr>
                <w:rFonts w:ascii="Helvetica" w:hAnsi="Helvetica" w:cs="Helvetica" w:eastAsia="Helvetica"/>
                <w:b w:val="0"/>
                <w:sz w:val="22"/>
              </w:rPr>
              <w:t>Route description (from and to)</w:t>
            </w:r>
          </w:p>
        </w:tc>
        <w:tc>
          <w:tcPr>
            <w:tcW w:type="dxa" w:w="5616"/>
          </w:tcPr>
          <w:p>
            <w:pPr>
              <w:spacing w:after="0"/>
            </w:pPr>
            <w:r/>
            <w:r>
              <w:rPr>
                <w:rFonts w:ascii="Helvetica" w:hAnsi="Helvetica" w:cs="Helvetica" w:eastAsia="Helvetica"/>
                <w:b w:val="0"/>
                <w:sz w:val="22"/>
              </w:rPr>
            </w:r>
          </w:p>
        </w:tc>
      </w:tr>
      <w:tr>
        <w:trPr>
          <w:cantSplit w:val="true"/>
        </w:trPr>
        <w:tc>
          <w:tcPr>
            <w:tcW w:type="dxa" w:w="3744"/>
          </w:tcPr>
          <w:p>
            <w:pPr>
              <w:spacing w:after="0"/>
            </w:pPr>
            <w:r/>
            <w:r>
              <w:rPr>
                <w:rFonts w:ascii="Helvetica" w:hAnsi="Helvetica" w:cs="Helvetica" w:eastAsia="Helvetica"/>
                <w:b w:val="0"/>
                <w:sz w:val="22"/>
              </w:rPr>
              <w:t>Number of tracts</w:t>
            </w:r>
          </w:p>
        </w:tc>
        <w:tc>
          <w:tcPr>
            <w:tcW w:type="dxa" w:w="5616"/>
          </w:tcPr>
          <w:p>
            <w:pPr>
              <w:spacing w:after="0"/>
            </w:pPr>
            <w:r/>
            <w:r>
              <w:rPr>
                <w:rFonts w:ascii="Helvetica" w:hAnsi="Helvetica" w:cs="Helvetica" w:eastAsia="Helvetica"/>
                <w:b w:val="0"/>
                <w:sz w:val="22"/>
              </w:rPr>
            </w:r>
          </w:p>
        </w:tc>
      </w:tr>
      <w:tr>
        <w:trPr>
          <w:cantSplit w:val="true"/>
        </w:trPr>
        <w:tc>
          <w:tcPr>
            <w:tcW w:type="dxa" w:w="3744"/>
          </w:tcPr>
          <w:p>
            <w:pPr>
              <w:spacing w:after="0"/>
            </w:pPr>
            <w:r/>
            <w:r>
              <w:rPr>
                <w:rFonts w:ascii="Helvetica" w:hAnsi="Helvetica" w:cs="Helvetica" w:eastAsia="Helvetica"/>
                <w:b w:val="0"/>
                <w:sz w:val="22"/>
              </w:rPr>
              <w:t>Tribal legal counsel</w:t>
            </w:r>
          </w:p>
        </w:tc>
        <w:tc>
          <w:tcPr>
            <w:tcW w:type="dxa" w:w="5616"/>
          </w:tcPr>
          <w:p>
            <w:pPr>
              <w:spacing w:after="0"/>
            </w:pPr>
            <w:r/>
            <w:r>
              <w:rPr>
                <w:rFonts w:ascii="Helvetica" w:hAnsi="Helvetica" w:cs="Helvetica" w:eastAsia="Helvetica"/>
                <w:b w:val="0"/>
                <w:sz w:val="22"/>
              </w:rPr>
            </w:r>
          </w:p>
        </w:tc>
      </w:tr>
      <w:tr>
        <w:trPr>
          <w:cantSplit w:val="true"/>
        </w:trPr>
        <w:tc>
          <w:tcPr>
            <w:tcW w:type="dxa" w:w="3744"/>
          </w:tcPr>
          <w:p>
            <w:pPr>
              <w:spacing w:after="0"/>
            </w:pPr>
            <w:r/>
            <w:r>
              <w:rPr>
                <w:rFonts w:ascii="Helvetica" w:hAnsi="Helvetica" w:cs="Helvetica" w:eastAsia="Helvetica"/>
                <w:b w:val="0"/>
                <w:sz w:val="22"/>
              </w:rPr>
              <w:t>Date this checklist was started</w:t>
            </w:r>
          </w:p>
        </w:tc>
        <w:tc>
          <w:tcPr>
            <w:tcW w:type="dxa" w:w="5616"/>
          </w:tcPr>
          <w:p>
            <w:pPr>
              <w:spacing w:after="0"/>
            </w:pPr>
            <w:r/>
            <w:r>
              <w:rPr>
                <w:rFonts w:ascii="Helvetica" w:hAnsi="Helvetica" w:cs="Helvetica" w:eastAsia="Helvetica"/>
                <w:b w:val="0"/>
                <w:sz w:val="22"/>
              </w:rPr>
            </w:r>
          </w:p>
        </w:tc>
      </w:tr>
    </w:tbl>
    <w:p>
      <w:pPr>
        <w:spacing w:after="0"/>
      </w:pPr>
    </w:p>
    <w:p>
      <w:pPr>
        <w:pStyle w:val="Heading1"/>
      </w:pPr>
      <w:r>
        <w:t>1. Before you apply</w:t>
      </w:r>
    </w:p>
    <w:tbl>
      <w:tblPr>
        <w:tblStyle w:val="TableGrid"/>
        <w:tblW w:type="auto" w:w="0"/>
        <w:jc w:val="center"/>
        <w:tblLayout w:type="fixed"/>
        <w:tblLook w:firstColumn="1" w:firstRow="1" w:lastColumn="0" w:lastRow="0" w:noHBand="0" w:noVBand="1" w:val="04A0"/>
      </w:tblPr>
      <w:tblGrid>
        <w:gridCol w:w="792"/>
        <w:gridCol w:w="4536"/>
        <w:gridCol w:w="1728"/>
        <w:gridCol w:w="2304"/>
      </w:tblGrid>
      <w:tr>
        <w:trPr>
          <w:tblHeader w:val="true"/>
          <w:cantSplit w:val="true"/>
        </w:trPr>
        <w:tc>
          <w:tcPr>
            <w:tcW w:type="dxa" w:w="792"/>
          </w:tcPr>
          <w:p>
            <w:pPr>
              <w:spacing w:after="0"/>
              <w:jc w:val="center"/>
            </w:pPr>
            <w:r/>
            <w:r>
              <w:rPr>
                <w:rFonts w:ascii="Helvetica" w:hAnsi="Helvetica" w:cs="Helvetica" w:eastAsia="Helvetica"/>
                <w:b/>
                <w:sz w:val="22"/>
              </w:rPr>
              <w:t>Done</w:t>
            </w:r>
          </w:p>
        </w:tc>
        <w:tc>
          <w:tcPr>
            <w:tcW w:type="dxa" w:w="4536"/>
          </w:tcPr>
          <w:p>
            <w:pPr>
              <w:spacing w:after="0"/>
              <w:jc w:val="center"/>
            </w:pPr>
            <w:r/>
            <w:r>
              <w:rPr>
                <w:rFonts w:ascii="Helvetica" w:hAnsi="Helvetica" w:cs="Helvetica" w:eastAsia="Helvetica"/>
                <w:b/>
                <w:sz w:val="22"/>
              </w:rPr>
              <w:t>Item</w:t>
            </w:r>
          </w:p>
        </w:tc>
        <w:tc>
          <w:tcPr>
            <w:tcW w:type="dxa" w:w="1728"/>
          </w:tcPr>
          <w:p>
            <w:pPr>
              <w:spacing w:after="0"/>
              <w:jc w:val="center"/>
            </w:pPr>
            <w:r/>
            <w:r>
              <w:rPr>
                <w:rFonts w:ascii="Helvetica" w:hAnsi="Helvetica" w:cs="Helvetica" w:eastAsia="Helvetica"/>
                <w:b/>
                <w:sz w:val="22"/>
              </w:rPr>
              <w:t>Rule</w:t>
            </w:r>
          </w:p>
        </w:tc>
        <w:tc>
          <w:tcPr>
            <w:tcW w:type="dxa" w:w="2304"/>
          </w:tcPr>
          <w:p>
            <w:pPr>
              <w:spacing w:after="0"/>
              <w:jc w:val="center"/>
            </w:pPr>
            <w:r/>
            <w:r>
              <w:rPr>
                <w:rFonts w:ascii="Helvetica" w:hAnsi="Helvetica" w:cs="Helvetica" w:eastAsia="Helvetica"/>
                <w:b/>
                <w:sz w:val="22"/>
              </w:rPr>
              <w:t>Notes</w:t>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Route drawn on a map; every tract it crosses is listed</w:t>
            </w:r>
          </w:p>
        </w:tc>
        <w:tc>
          <w:tcPr>
            <w:tcW w:type="dxa" w:w="1728"/>
          </w:tcPr>
          <w:p>
            <w:pPr>
              <w:spacing w:after="0"/>
            </w:pPr>
            <w:r/>
            <w:r>
              <w:rPr>
                <w:rFonts w:ascii="Helvetica" w:hAnsi="Helvetica" w:cs="Helvetica" w:eastAsia="Helvetica"/>
                <w:b w:val="0"/>
                <w:sz w:val="22"/>
              </w:rPr>
              <w:t>Planning step</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Land status known for each tract: tribal land, individually owned Indian land, BIA land, fee land, or road</w:t>
            </w:r>
          </w:p>
        </w:tc>
        <w:tc>
          <w:tcPr>
            <w:tcW w:type="dxa" w:w="1728"/>
          </w:tcPr>
          <w:p>
            <w:pPr>
              <w:spacing w:after="0"/>
            </w:pPr>
            <w:r/>
            <w:r>
              <w:rPr>
                <w:rFonts w:ascii="Helvetica" w:hAnsi="Helvetica" w:cs="Helvetica" w:eastAsia="Helvetica"/>
                <w:b w:val="0"/>
                <w:sz w:val="22"/>
              </w:rPr>
              <w:t>169.2, 169.3</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Fee land identified; permission from fee owners handled outside the BIA process</w:t>
            </w:r>
          </w:p>
        </w:tc>
        <w:tc>
          <w:tcPr>
            <w:tcW w:type="dxa" w:w="1728"/>
          </w:tcPr>
          <w:p>
            <w:pPr>
              <w:spacing w:after="0"/>
            </w:pPr>
            <w:r/>
            <w:r>
              <w:rPr>
                <w:rFonts w:ascii="Helvetica" w:hAnsi="Helvetica" w:cs="Helvetica" w:eastAsia="Helvetica"/>
                <w:b w:val="0"/>
                <w:sz w:val="22"/>
              </w:rPr>
              <w:t>169.3(b)</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State or county roads identified; road owner contacted</w:t>
            </w:r>
          </w:p>
        </w:tc>
        <w:tc>
          <w:tcPr>
            <w:tcW w:type="dxa" w:w="1728"/>
          </w:tcPr>
          <w:p>
            <w:pPr>
              <w:spacing w:after="0"/>
            </w:pPr>
            <w:r/>
            <w:r>
              <w:rPr>
                <w:rFonts w:ascii="Helvetica" w:hAnsi="Helvetica" w:cs="Helvetica" w:eastAsia="Helvetica"/>
                <w:b w:val="0"/>
                <w:sz w:val="22"/>
              </w:rPr>
              <w:t>Ask the Agency</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Existing leases, permits, and tribal land assignments checked for uses they already allow</w:t>
            </w:r>
          </w:p>
        </w:tc>
        <w:tc>
          <w:tcPr>
            <w:tcW w:type="dxa" w:w="1728"/>
          </w:tcPr>
          <w:p>
            <w:pPr>
              <w:spacing w:after="0"/>
            </w:pPr>
            <w:r/>
            <w:r>
              <w:rPr>
                <w:rFonts w:ascii="Helvetica" w:hAnsi="Helvetica" w:cs="Helvetica" w:eastAsia="Helvetica"/>
                <w:b w:val="0"/>
                <w:sz w:val="22"/>
              </w:rPr>
              <w:t>169.4(b)(2)</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Grants under special acts of Congress, or tracts where one Indian landowner owns 100%, discussed with BIA and counsel</w:t>
            </w:r>
          </w:p>
        </w:tc>
        <w:tc>
          <w:tcPr>
            <w:tcW w:type="dxa" w:w="1728"/>
          </w:tcPr>
          <w:p>
            <w:pPr>
              <w:spacing w:after="0"/>
            </w:pPr>
            <w:r/>
            <w:r>
              <w:rPr>
                <w:rFonts w:ascii="Helvetica" w:hAnsi="Helvetica" w:cs="Helvetica" w:eastAsia="Helvetica"/>
                <w:b w:val="0"/>
                <w:sz w:val="22"/>
              </w:rPr>
              <w:t>169.1(d), 169.4(b)(1)</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Tower sites, buildings, and access points flagged for a possible business lease</w:t>
            </w:r>
          </w:p>
        </w:tc>
        <w:tc>
          <w:tcPr>
            <w:tcW w:type="dxa" w:w="1728"/>
          </w:tcPr>
          <w:p>
            <w:pPr>
              <w:spacing w:after="0"/>
            </w:pPr>
            <w:r/>
            <w:r>
              <w:rPr>
                <w:rFonts w:ascii="Helvetica" w:hAnsi="Helvetica" w:cs="Helvetica" w:eastAsia="Helvetica"/>
                <w:b w:val="0"/>
                <w:sz w:val="22"/>
              </w:rPr>
              <w:t>25 CFR 162, Subpart D</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Home and building drops flagged for service line agreements</w:t>
            </w:r>
          </w:p>
        </w:tc>
        <w:tc>
          <w:tcPr>
            <w:tcW w:type="dxa" w:w="1728"/>
          </w:tcPr>
          <w:p>
            <w:pPr>
              <w:spacing w:after="0"/>
            </w:pPr>
            <w:r/>
            <w:r>
              <w:rPr>
                <w:rFonts w:ascii="Helvetica" w:hAnsi="Helvetica" w:cs="Helvetica" w:eastAsia="Helvetica"/>
                <w:b w:val="0"/>
                <w:sz w:val="22"/>
              </w:rPr>
              <w:t>169.51 to 169.56</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Title Status Reports requested for each tract</w:t>
            </w:r>
          </w:p>
        </w:tc>
        <w:tc>
          <w:tcPr>
            <w:tcW w:type="dxa" w:w="1728"/>
          </w:tcPr>
          <w:p>
            <w:pPr>
              <w:spacing w:after="0"/>
            </w:pPr>
            <w:r/>
            <w:r>
              <w:rPr>
                <w:rFonts w:ascii="Helvetica" w:hAnsi="Helvetica" w:cs="Helvetica" w:eastAsia="Helvetica"/>
                <w:b w:val="0"/>
                <w:sz w:val="22"/>
              </w:rPr>
              <w:t>Ask the Agency</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Written request to BIA for owner names, addresses, and shares</w:t>
            </w:r>
          </w:p>
        </w:tc>
        <w:tc>
          <w:tcPr>
            <w:tcW w:type="dxa" w:w="1728"/>
          </w:tcPr>
          <w:p>
            <w:pPr>
              <w:spacing w:after="0"/>
            </w:pPr>
            <w:r/>
            <w:r>
              <w:rPr>
                <w:rFonts w:ascii="Helvetica" w:hAnsi="Helvetica" w:cs="Helvetica" w:eastAsia="Helvetica"/>
                <w:b w:val="0"/>
                <w:sz w:val="22"/>
              </w:rPr>
              <w:t>169.106</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Landowner consent to survey obtained (BIA approval not needed)</w:t>
            </w:r>
          </w:p>
        </w:tc>
        <w:tc>
          <w:tcPr>
            <w:tcW w:type="dxa" w:w="1728"/>
          </w:tcPr>
          <w:p>
            <w:pPr>
              <w:spacing w:after="0"/>
            </w:pPr>
            <w:r/>
            <w:r>
              <w:rPr>
                <w:rFonts w:ascii="Helvetica" w:hAnsi="Helvetica" w:cs="Helvetica" w:eastAsia="Helvetica"/>
                <w:b w:val="0"/>
                <w:sz w:val="22"/>
              </w:rPr>
              <w:t>169.101</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Asked the Agency whether NPM-TRUS-48 or a newer policy memo is in effect</w:t>
            </w:r>
          </w:p>
        </w:tc>
        <w:tc>
          <w:tcPr>
            <w:tcW w:type="dxa" w:w="1728"/>
          </w:tcPr>
          <w:p>
            <w:pPr>
              <w:spacing w:after="0"/>
            </w:pPr>
            <w:r/>
            <w:r>
              <w:rPr>
                <w:rFonts w:ascii="Helvetica" w:hAnsi="Helvetica" w:cs="Helvetica" w:eastAsia="Helvetica"/>
                <w:b w:val="0"/>
                <w:sz w:val="22"/>
              </w:rPr>
              <w:t>NPM-TRUS-48</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Asked the Agency how to submit: mail, email, or both</w:t>
            </w:r>
          </w:p>
        </w:tc>
        <w:tc>
          <w:tcPr>
            <w:tcW w:type="dxa" w:w="1728"/>
          </w:tcPr>
          <w:p>
            <w:pPr>
              <w:spacing w:after="0"/>
            </w:pPr>
            <w:r/>
            <w:r>
              <w:rPr>
                <w:rFonts w:ascii="Helvetica" w:hAnsi="Helvetica" w:cs="Helvetica" w:eastAsia="Helvetica"/>
                <w:b w:val="0"/>
                <w:sz w:val="22"/>
              </w:rPr>
              <w:t>Ask the Agency</w:t>
            </w:r>
          </w:p>
        </w:tc>
        <w:tc>
          <w:tcPr>
            <w:tcW w:type="dxa" w:w="2304"/>
          </w:tcPr>
          <w:p>
            <w:pPr>
              <w:spacing w:after="0"/>
            </w:pPr>
            <w:r/>
            <w:r>
              <w:rPr>
                <w:rFonts w:ascii="Helvetica" w:hAnsi="Helvetica" w:cs="Helvetica" w:eastAsia="Helvetica"/>
                <w:b w:val="0"/>
                <w:sz w:val="22"/>
              </w:rPr>
            </w:r>
          </w:p>
        </w:tc>
      </w:tr>
    </w:tbl>
    <w:p>
      <w:pPr>
        <w:spacing w:after="0"/>
      </w:pPr>
    </w:p>
    <w:p>
      <w:pPr>
        <w:pStyle w:val="Heading1"/>
      </w:pPr>
      <w:r>
        <w:t>2. Application contents (169.102)</w:t>
      </w:r>
    </w:p>
    <w:p>
      <w:r>
        <w:t>There is no required form (169.102(c)). BIA publishes an optional form (OMB 1076-0181, an Office of Management and Budget control number) and a checklist. A complete package includes each item below.</w:t>
      </w:r>
    </w:p>
    <w:tbl>
      <w:tblPr>
        <w:tblStyle w:val="TableGrid"/>
        <w:tblW w:type="auto" w:w="0"/>
        <w:jc w:val="center"/>
        <w:tblLayout w:type="fixed"/>
        <w:tblLook w:firstColumn="1" w:firstRow="1" w:lastColumn="0" w:lastRow="0" w:noHBand="0" w:noVBand="1" w:val="04A0"/>
      </w:tblPr>
      <w:tblGrid>
        <w:gridCol w:w="792"/>
        <w:gridCol w:w="4536"/>
        <w:gridCol w:w="1728"/>
        <w:gridCol w:w="2304"/>
      </w:tblGrid>
      <w:tr>
        <w:trPr>
          <w:tblHeader w:val="true"/>
          <w:cantSplit w:val="true"/>
        </w:trPr>
        <w:tc>
          <w:tcPr>
            <w:tcW w:type="dxa" w:w="792"/>
          </w:tcPr>
          <w:p>
            <w:pPr>
              <w:spacing w:after="0"/>
              <w:jc w:val="center"/>
            </w:pPr>
            <w:r/>
            <w:r>
              <w:rPr>
                <w:rFonts w:ascii="Helvetica" w:hAnsi="Helvetica" w:cs="Helvetica" w:eastAsia="Helvetica"/>
                <w:b/>
                <w:sz w:val="22"/>
              </w:rPr>
              <w:t>Done</w:t>
            </w:r>
          </w:p>
        </w:tc>
        <w:tc>
          <w:tcPr>
            <w:tcW w:type="dxa" w:w="4536"/>
          </w:tcPr>
          <w:p>
            <w:pPr>
              <w:spacing w:after="0"/>
              <w:jc w:val="center"/>
            </w:pPr>
            <w:r/>
            <w:r>
              <w:rPr>
                <w:rFonts w:ascii="Helvetica" w:hAnsi="Helvetica" w:cs="Helvetica" w:eastAsia="Helvetica"/>
                <w:b/>
                <w:sz w:val="22"/>
              </w:rPr>
              <w:t>Item</w:t>
            </w:r>
          </w:p>
        </w:tc>
        <w:tc>
          <w:tcPr>
            <w:tcW w:type="dxa" w:w="1728"/>
          </w:tcPr>
          <w:p>
            <w:pPr>
              <w:spacing w:after="0"/>
              <w:jc w:val="center"/>
            </w:pPr>
            <w:r/>
            <w:r>
              <w:rPr>
                <w:rFonts w:ascii="Helvetica" w:hAnsi="Helvetica" w:cs="Helvetica" w:eastAsia="Helvetica"/>
                <w:b/>
                <w:sz w:val="22"/>
              </w:rPr>
              <w:t>Rule</w:t>
            </w:r>
          </w:p>
        </w:tc>
        <w:tc>
          <w:tcPr>
            <w:tcW w:type="dxa" w:w="2304"/>
          </w:tcPr>
          <w:p>
            <w:pPr>
              <w:spacing w:after="0"/>
              <w:jc w:val="center"/>
            </w:pPr>
            <w:r/>
            <w:r>
              <w:rPr>
                <w:rFonts w:ascii="Helvetica" w:hAnsi="Helvetica" w:cs="Helvetica" w:eastAsia="Helvetica"/>
                <w:b/>
                <w:sz w:val="22"/>
              </w:rPr>
              <w:t>Notes</w:t>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The tracts the right-of-way crosses</w:t>
            </w:r>
          </w:p>
        </w:tc>
        <w:tc>
          <w:tcPr>
            <w:tcW w:type="dxa" w:w="1728"/>
          </w:tcPr>
          <w:p>
            <w:pPr>
              <w:spacing w:after="0"/>
            </w:pPr>
            <w:r/>
            <w:r>
              <w:rPr>
                <w:rFonts w:ascii="Helvetica" w:hAnsi="Helvetica" w:cs="Helvetica" w:eastAsia="Helvetica"/>
                <w:b w:val="0"/>
                <w:sz w:val="22"/>
              </w:rPr>
              <w:t>169.102</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The purpose of the right-of-way (for example, a buried fiber line)</w:t>
            </w:r>
          </w:p>
        </w:tc>
        <w:tc>
          <w:tcPr>
            <w:tcW w:type="dxa" w:w="1728"/>
          </w:tcPr>
          <w:p>
            <w:pPr>
              <w:spacing w:after="0"/>
            </w:pPr>
            <w:r/>
            <w:r>
              <w:rPr>
                <w:rFonts w:ascii="Helvetica" w:hAnsi="Helvetica" w:cs="Helvetica" w:eastAsia="Helvetica"/>
                <w:b w:val="0"/>
                <w:sz w:val="22"/>
              </w:rPr>
              <w:t>169.102, 169.5</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The duration requested</w:t>
            </w:r>
          </w:p>
        </w:tc>
        <w:tc>
          <w:tcPr>
            <w:tcW w:type="dxa" w:w="1728"/>
          </w:tcPr>
          <w:p>
            <w:pPr>
              <w:spacing w:after="0"/>
            </w:pPr>
            <w:r/>
            <w:r>
              <w:rPr>
                <w:rFonts w:ascii="Helvetica" w:hAnsi="Helvetica" w:cs="Helvetica" w:eastAsia="Helvetica"/>
                <w:b w:val="0"/>
                <w:sz w:val="22"/>
              </w:rPr>
              <w:t>169.102, 169.201</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A legal description of the right-of-way</w:t>
            </w:r>
          </w:p>
        </w:tc>
        <w:tc>
          <w:tcPr>
            <w:tcW w:type="dxa" w:w="1728"/>
          </w:tcPr>
          <w:p>
            <w:pPr>
              <w:spacing w:after="0"/>
            </w:pPr>
            <w:r/>
            <w:r>
              <w:rPr>
                <w:rFonts w:ascii="Helvetica" w:hAnsi="Helvetica" w:cs="Helvetica" w:eastAsia="Helvetica"/>
                <w:b w:val="0"/>
                <w:sz w:val="22"/>
              </w:rPr>
              <w:t>169.102</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A map of definite location</w:t>
            </w:r>
          </w:p>
        </w:tc>
        <w:tc>
          <w:tcPr>
            <w:tcW w:type="dxa" w:w="1728"/>
          </w:tcPr>
          <w:p>
            <w:pPr>
              <w:spacing w:after="0"/>
            </w:pPr>
            <w:r/>
            <w:r>
              <w:rPr>
                <w:rFonts w:ascii="Helvetica" w:hAnsi="Helvetica" w:cs="Helvetica" w:eastAsia="Helvetica"/>
                <w:b w:val="0"/>
                <w:sz w:val="22"/>
              </w:rPr>
              <w:t>169.102</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Security: bond or other security, or a waiver or exemption</w:t>
            </w:r>
          </w:p>
        </w:tc>
        <w:tc>
          <w:tcPr>
            <w:tcW w:type="dxa" w:w="1728"/>
          </w:tcPr>
          <w:p>
            <w:pPr>
              <w:spacing w:after="0"/>
            </w:pPr>
            <w:r/>
            <w:r>
              <w:rPr>
                <w:rFonts w:ascii="Helvetica" w:hAnsi="Helvetica" w:cs="Helvetica" w:eastAsia="Helvetica"/>
                <w:b w:val="0"/>
                <w:sz w:val="22"/>
              </w:rPr>
              <w:t>169.102, 169.103</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Proof of notice to the landowners</w:t>
            </w:r>
          </w:p>
        </w:tc>
        <w:tc>
          <w:tcPr>
            <w:tcW w:type="dxa" w:w="1728"/>
          </w:tcPr>
          <w:p>
            <w:pPr>
              <w:spacing w:after="0"/>
            </w:pPr>
            <w:r/>
            <w:r>
              <w:rPr>
                <w:rFonts w:ascii="Helvetica" w:hAnsi="Helvetica" w:cs="Helvetica" w:eastAsia="Helvetica"/>
                <w:b w:val="0"/>
                <w:sz w:val="22"/>
              </w:rPr>
              <w:t>169.102, 169.107(b)</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Consents: tribal authorization and owners' written consents</w:t>
            </w:r>
          </w:p>
        </w:tc>
        <w:tc>
          <w:tcPr>
            <w:tcW w:type="dxa" w:w="1728"/>
          </w:tcPr>
          <w:p>
            <w:pPr>
              <w:spacing w:after="0"/>
            </w:pPr>
            <w:r/>
            <w:r>
              <w:rPr>
                <w:rFonts w:ascii="Helvetica" w:hAnsi="Helvetica" w:cs="Helvetica" w:eastAsia="Helvetica"/>
                <w:b w:val="0"/>
                <w:sz w:val="22"/>
              </w:rPr>
              <w:t>169.102, 169.107</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Valuation, or a waiver of valuation</w:t>
            </w:r>
          </w:p>
        </w:tc>
        <w:tc>
          <w:tcPr>
            <w:tcW w:type="dxa" w:w="1728"/>
          </w:tcPr>
          <w:p>
            <w:pPr>
              <w:spacing w:after="0"/>
            </w:pPr>
            <w:r/>
            <w:r>
              <w:rPr>
                <w:rFonts w:ascii="Helvetica" w:hAnsi="Helvetica" w:cs="Helvetica" w:eastAsia="Helvetica"/>
                <w:b w:val="0"/>
                <w:sz w:val="22"/>
              </w:rPr>
              <w:t>169.102, 169.110, 169.112</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Environmental and archaeological reports</w:t>
            </w:r>
          </w:p>
        </w:tc>
        <w:tc>
          <w:tcPr>
            <w:tcW w:type="dxa" w:w="1728"/>
          </w:tcPr>
          <w:p>
            <w:pPr>
              <w:spacing w:after="0"/>
            </w:pPr>
            <w:r/>
            <w:r>
              <w:rPr>
                <w:rFonts w:ascii="Helvetica" w:hAnsi="Helvetica" w:cs="Helvetica" w:eastAsia="Helvetica"/>
                <w:b w:val="0"/>
                <w:sz w:val="22"/>
              </w:rPr>
              <w:t>169.102, 169.123</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Tribal conformance statement, if the tribe requires one</w:t>
            </w:r>
          </w:p>
        </w:tc>
        <w:tc>
          <w:tcPr>
            <w:tcW w:type="dxa" w:w="1728"/>
          </w:tcPr>
          <w:p>
            <w:pPr>
              <w:spacing w:after="0"/>
            </w:pPr>
            <w:r/>
            <w:r>
              <w:rPr>
                <w:rFonts w:ascii="Helvetica" w:hAnsi="Helvetica" w:cs="Helvetica" w:eastAsia="Helvetica"/>
                <w:b w:val="0"/>
                <w:sz w:val="22"/>
              </w:rPr>
              <w:t>169.102(b)</w:t>
            </w:r>
          </w:p>
        </w:tc>
        <w:tc>
          <w:tcPr>
            <w:tcW w:type="dxa" w:w="2304"/>
          </w:tcPr>
          <w:p>
            <w:pPr>
              <w:spacing w:after="0"/>
            </w:pPr>
            <w:r/>
            <w:r>
              <w:rPr>
                <w:rFonts w:ascii="Helvetica" w:hAnsi="Helvetica" w:cs="Helvetica" w:eastAsia="Helvetica"/>
                <w:b w:val="0"/>
                <w:sz w:val="22"/>
              </w:rPr>
            </w:r>
          </w:p>
        </w:tc>
      </w:tr>
    </w:tbl>
    <w:p>
      <w:pPr>
        <w:spacing w:after="0"/>
      </w:pPr>
    </w:p>
    <w:p>
      <w:pPr>
        <w:pStyle w:val="Heading1"/>
      </w:pPr>
      <w:r>
        <w:t>3. Consents</w:t>
      </w:r>
    </w:p>
    <w:p>
      <w:pPr>
        <w:pStyle w:val="Heading2"/>
      </w:pPr>
      <w:r>
        <w:t>Tribal land</w:t>
      </w:r>
    </w:p>
    <w:tbl>
      <w:tblPr>
        <w:tblStyle w:val="TableGrid"/>
        <w:tblW w:type="auto" w:w="0"/>
        <w:jc w:val="center"/>
        <w:tblLayout w:type="fixed"/>
        <w:tblLook w:firstColumn="1" w:firstRow="1" w:lastColumn="0" w:lastRow="0" w:noHBand="0" w:noVBand="1" w:val="04A0"/>
      </w:tblPr>
      <w:tblGrid>
        <w:gridCol w:w="792"/>
        <w:gridCol w:w="4536"/>
        <w:gridCol w:w="1728"/>
        <w:gridCol w:w="2304"/>
      </w:tblGrid>
      <w:tr>
        <w:trPr>
          <w:tblHeader w:val="true"/>
          <w:cantSplit w:val="true"/>
        </w:trPr>
        <w:tc>
          <w:tcPr>
            <w:tcW w:type="dxa" w:w="792"/>
          </w:tcPr>
          <w:p>
            <w:pPr>
              <w:spacing w:after="0"/>
              <w:jc w:val="center"/>
            </w:pPr>
            <w:r/>
            <w:r>
              <w:rPr>
                <w:rFonts w:ascii="Helvetica" w:hAnsi="Helvetica" w:cs="Helvetica" w:eastAsia="Helvetica"/>
                <w:b/>
                <w:sz w:val="22"/>
              </w:rPr>
              <w:t>Done</w:t>
            </w:r>
          </w:p>
        </w:tc>
        <w:tc>
          <w:tcPr>
            <w:tcW w:type="dxa" w:w="4536"/>
          </w:tcPr>
          <w:p>
            <w:pPr>
              <w:spacing w:after="0"/>
              <w:jc w:val="center"/>
            </w:pPr>
            <w:r/>
            <w:r>
              <w:rPr>
                <w:rFonts w:ascii="Helvetica" w:hAnsi="Helvetica" w:cs="Helvetica" w:eastAsia="Helvetica"/>
                <w:b/>
                <w:sz w:val="22"/>
              </w:rPr>
              <w:t>Item</w:t>
            </w:r>
          </w:p>
        </w:tc>
        <w:tc>
          <w:tcPr>
            <w:tcW w:type="dxa" w:w="1728"/>
          </w:tcPr>
          <w:p>
            <w:pPr>
              <w:spacing w:after="0"/>
              <w:jc w:val="center"/>
            </w:pPr>
            <w:r/>
            <w:r>
              <w:rPr>
                <w:rFonts w:ascii="Helvetica" w:hAnsi="Helvetica" w:cs="Helvetica" w:eastAsia="Helvetica"/>
                <w:b/>
                <w:sz w:val="22"/>
              </w:rPr>
              <w:t>Rule</w:t>
            </w:r>
          </w:p>
        </w:tc>
        <w:tc>
          <w:tcPr>
            <w:tcW w:type="dxa" w:w="2304"/>
          </w:tcPr>
          <w:p>
            <w:pPr>
              <w:spacing w:after="0"/>
              <w:jc w:val="center"/>
            </w:pPr>
            <w:r/>
            <w:r>
              <w:rPr>
                <w:rFonts w:ascii="Helvetica" w:hAnsi="Helvetica" w:cs="Helvetica" w:eastAsia="Helvetica"/>
                <w:b/>
                <w:sz w:val="22"/>
              </w:rPr>
              <w:t>Notes</w:t>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Tribal authorization adopted (date and number in Notes)</w:t>
            </w:r>
          </w:p>
        </w:tc>
        <w:tc>
          <w:tcPr>
            <w:tcW w:type="dxa" w:w="1728"/>
          </w:tcPr>
          <w:p>
            <w:pPr>
              <w:spacing w:after="0"/>
            </w:pPr>
            <w:r/>
            <w:r>
              <w:rPr>
                <w:rFonts w:ascii="Helvetica" w:hAnsi="Helvetica" w:cs="Helvetica" w:eastAsia="Helvetica"/>
                <w:b w:val="0"/>
                <w:sz w:val="22"/>
              </w:rPr>
              <w:t>169.107(a)</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Written agreement signed, if the tribe requires one</w:t>
            </w:r>
          </w:p>
        </w:tc>
        <w:tc>
          <w:tcPr>
            <w:tcW w:type="dxa" w:w="1728"/>
          </w:tcPr>
          <w:p>
            <w:pPr>
              <w:spacing w:after="0"/>
            </w:pPr>
            <w:r/>
            <w:r>
              <w:rPr>
                <w:rFonts w:ascii="Helvetica" w:hAnsi="Helvetica" w:cs="Helvetica" w:eastAsia="Helvetica"/>
                <w:b w:val="0"/>
                <w:sz w:val="22"/>
              </w:rPr>
              <w:t>169.107(a)</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Tribe's conditions listed; they will become grant conditions</w:t>
            </w:r>
          </w:p>
        </w:tc>
        <w:tc>
          <w:tcPr>
            <w:tcW w:type="dxa" w:w="1728"/>
          </w:tcPr>
          <w:p>
            <w:pPr>
              <w:spacing w:after="0"/>
            </w:pPr>
            <w:r/>
            <w:r>
              <w:rPr>
                <w:rFonts w:ascii="Helvetica" w:hAnsi="Helvetica" w:cs="Helvetica" w:eastAsia="Helvetica"/>
                <w:b w:val="0"/>
                <w:sz w:val="22"/>
              </w:rPr>
              <w:t>169.107(a)</w:t>
            </w:r>
          </w:p>
        </w:tc>
        <w:tc>
          <w:tcPr>
            <w:tcW w:type="dxa" w:w="2304"/>
          </w:tcPr>
          <w:p>
            <w:pPr>
              <w:spacing w:after="0"/>
            </w:pPr>
            <w:r/>
            <w:r>
              <w:rPr>
                <w:rFonts w:ascii="Helvetica" w:hAnsi="Helvetica" w:cs="Helvetica" w:eastAsia="Helvetica"/>
                <w:b w:val="0"/>
                <w:sz w:val="22"/>
              </w:rPr>
            </w:r>
          </w:p>
        </w:tc>
      </w:tr>
    </w:tbl>
    <w:p>
      <w:pPr>
        <w:spacing w:after="0"/>
      </w:pPr>
    </w:p>
    <w:p>
      <w:pPr>
        <w:pStyle w:val="Heading2"/>
      </w:pPr>
      <w:r>
        <w:t>Individually owned Indian land (allotments)</w:t>
      </w:r>
    </w:p>
    <w:tbl>
      <w:tblPr>
        <w:tblStyle w:val="TableGrid"/>
        <w:tblW w:type="auto" w:w="0"/>
        <w:jc w:val="center"/>
        <w:tblLayout w:type="fixed"/>
        <w:tblLook w:firstColumn="1" w:firstRow="1" w:lastColumn="0" w:lastRow="0" w:noHBand="0" w:noVBand="1" w:val="04A0"/>
      </w:tblPr>
      <w:tblGrid>
        <w:gridCol w:w="792"/>
        <w:gridCol w:w="4536"/>
        <w:gridCol w:w="1728"/>
        <w:gridCol w:w="2304"/>
      </w:tblGrid>
      <w:tr>
        <w:trPr>
          <w:tblHeader w:val="true"/>
          <w:cantSplit w:val="true"/>
        </w:trPr>
        <w:tc>
          <w:tcPr>
            <w:tcW w:type="dxa" w:w="792"/>
          </w:tcPr>
          <w:p>
            <w:pPr>
              <w:spacing w:after="0"/>
              <w:jc w:val="center"/>
            </w:pPr>
            <w:r/>
            <w:r>
              <w:rPr>
                <w:rFonts w:ascii="Helvetica" w:hAnsi="Helvetica" w:cs="Helvetica" w:eastAsia="Helvetica"/>
                <w:b/>
                <w:sz w:val="22"/>
              </w:rPr>
              <w:t>Done</w:t>
            </w:r>
          </w:p>
        </w:tc>
        <w:tc>
          <w:tcPr>
            <w:tcW w:type="dxa" w:w="4536"/>
          </w:tcPr>
          <w:p>
            <w:pPr>
              <w:spacing w:after="0"/>
              <w:jc w:val="center"/>
            </w:pPr>
            <w:r/>
            <w:r>
              <w:rPr>
                <w:rFonts w:ascii="Helvetica" w:hAnsi="Helvetica" w:cs="Helvetica" w:eastAsia="Helvetica"/>
                <w:b/>
                <w:sz w:val="22"/>
              </w:rPr>
              <w:t>Item</w:t>
            </w:r>
          </w:p>
        </w:tc>
        <w:tc>
          <w:tcPr>
            <w:tcW w:type="dxa" w:w="1728"/>
          </w:tcPr>
          <w:p>
            <w:pPr>
              <w:spacing w:after="0"/>
              <w:jc w:val="center"/>
            </w:pPr>
            <w:r/>
            <w:r>
              <w:rPr>
                <w:rFonts w:ascii="Helvetica" w:hAnsi="Helvetica" w:cs="Helvetica" w:eastAsia="Helvetica"/>
                <w:b/>
                <w:sz w:val="22"/>
              </w:rPr>
              <w:t>Rule</w:t>
            </w:r>
          </w:p>
        </w:tc>
        <w:tc>
          <w:tcPr>
            <w:tcW w:type="dxa" w:w="2304"/>
          </w:tcPr>
          <w:p>
            <w:pPr>
              <w:spacing w:after="0"/>
              <w:jc w:val="center"/>
            </w:pPr>
            <w:r/>
            <w:r>
              <w:rPr>
                <w:rFonts w:ascii="Helvetica" w:hAnsi="Helvetica" w:cs="Helvetica" w:eastAsia="Helvetica"/>
                <w:b/>
                <w:sz w:val="22"/>
              </w:rPr>
              <w:t>Notes</w:t>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Notice sent to all owners; proof kept</w:t>
            </w:r>
          </w:p>
        </w:tc>
        <w:tc>
          <w:tcPr>
            <w:tcW w:type="dxa" w:w="1728"/>
          </w:tcPr>
          <w:p>
            <w:pPr>
              <w:spacing w:after="0"/>
            </w:pPr>
            <w:r/>
            <w:r>
              <w:rPr>
                <w:rFonts w:ascii="Helvetica" w:hAnsi="Helvetica" w:cs="Helvetica" w:eastAsia="Helvetica"/>
                <w:b w:val="0"/>
                <w:sz w:val="22"/>
              </w:rPr>
              <w:t>169.107(b)</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Written consents from owners of the majority interest (over 50% of shares)</w:t>
            </w:r>
          </w:p>
        </w:tc>
        <w:tc>
          <w:tcPr>
            <w:tcW w:type="dxa" w:w="1728"/>
          </w:tcPr>
          <w:p>
            <w:pPr>
              <w:spacing w:after="0"/>
            </w:pPr>
            <w:r/>
            <w:r>
              <w:rPr>
                <w:rFonts w:ascii="Helvetica" w:hAnsi="Helvetica" w:cs="Helvetica" w:eastAsia="Helvetica"/>
                <w:b w:val="0"/>
                <w:sz w:val="22"/>
              </w:rPr>
              <w:t>169.107(b)</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Owner count matches BIA records as of the application date</w:t>
            </w:r>
          </w:p>
        </w:tc>
        <w:tc>
          <w:tcPr>
            <w:tcW w:type="dxa" w:w="1728"/>
          </w:tcPr>
          <w:p>
            <w:pPr>
              <w:spacing w:after="0"/>
            </w:pPr>
            <w:r/>
            <w:r>
              <w:rPr>
                <w:rFonts w:ascii="Helvetica" w:hAnsi="Helvetica" w:cs="Helvetica" w:eastAsia="Helvetica"/>
                <w:b w:val="0"/>
                <w:sz w:val="22"/>
              </w:rPr>
              <w:t>169.107(c)</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Who may consent checked (for example, for minors or others who cannot sign for themselves)</w:t>
            </w:r>
          </w:p>
        </w:tc>
        <w:tc>
          <w:tcPr>
            <w:tcW w:type="dxa" w:w="1728"/>
          </w:tcPr>
          <w:p>
            <w:pPr>
              <w:spacing w:after="0"/>
            </w:pPr>
            <w:r/>
            <w:r>
              <w:rPr>
                <w:rFonts w:ascii="Helvetica" w:hAnsi="Helvetica" w:cs="Helvetica" w:eastAsia="Helvetica"/>
                <w:b w:val="0"/>
                <w:sz w:val="22"/>
              </w:rPr>
              <w:t>169.108</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Life estates handled</w:t>
            </w:r>
          </w:p>
        </w:tc>
        <w:tc>
          <w:tcPr>
            <w:tcW w:type="dxa" w:w="1728"/>
          </w:tcPr>
          <w:p>
            <w:pPr>
              <w:spacing w:after="0"/>
            </w:pPr>
            <w:r/>
            <w:r>
              <w:rPr>
                <w:rFonts w:ascii="Helvetica" w:hAnsi="Helvetica" w:cs="Helvetica" w:eastAsia="Helvetica"/>
                <w:b w:val="0"/>
                <w:sz w:val="22"/>
              </w:rPr>
              <w:t>169.109</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Fee shares left out of the consent count</w:t>
            </w:r>
          </w:p>
        </w:tc>
        <w:tc>
          <w:tcPr>
            <w:tcW w:type="dxa" w:w="1728"/>
          </w:tcPr>
          <w:p>
            <w:pPr>
              <w:spacing w:after="0"/>
            </w:pPr>
            <w:r/>
            <w:r>
              <w:rPr>
                <w:rFonts w:ascii="Helvetica" w:hAnsi="Helvetica" w:cs="Helvetica" w:eastAsia="Helvetica"/>
                <w:b w:val="0"/>
                <w:sz w:val="22"/>
              </w:rPr>
              <w:t>169.3(c)</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Tracts with 50 or more co-owners discussed with BIA; the four no-consent conditions reviewed (including 60 days' notice and a 30-day objection window)</w:t>
            </w:r>
          </w:p>
        </w:tc>
        <w:tc>
          <w:tcPr>
            <w:tcW w:type="dxa" w:w="1728"/>
          </w:tcPr>
          <w:p>
            <w:pPr>
              <w:spacing w:after="0"/>
            </w:pPr>
            <w:r/>
            <w:r>
              <w:rPr>
                <w:rFonts w:ascii="Helvetica" w:hAnsi="Helvetica" w:cs="Helvetica" w:eastAsia="Helvetica"/>
                <w:b w:val="0"/>
                <w:sz w:val="22"/>
              </w:rPr>
              <w:t>169.107(b)(1) and (2)</w:t>
            </w:r>
          </w:p>
        </w:tc>
        <w:tc>
          <w:tcPr>
            <w:tcW w:type="dxa" w:w="2304"/>
          </w:tcPr>
          <w:p>
            <w:pPr>
              <w:spacing w:after="0"/>
            </w:pPr>
            <w:r/>
            <w:r>
              <w:rPr>
                <w:rFonts w:ascii="Helvetica" w:hAnsi="Helvetica" w:cs="Helvetica" w:eastAsia="Helvetica"/>
                <w:b w:val="0"/>
                <w:sz w:val="22"/>
              </w:rPr>
            </w:r>
          </w:p>
        </w:tc>
      </w:tr>
    </w:tbl>
    <w:p>
      <w:pPr>
        <w:spacing w:after="0"/>
      </w:pPr>
    </w:p>
    <w:p>
      <w:pPr>
        <w:pStyle w:val="Heading1"/>
      </w:pPr>
      <w:r>
        <w:t>4. Compensation</w:t>
      </w:r>
    </w:p>
    <w:tbl>
      <w:tblPr>
        <w:tblStyle w:val="TableGrid"/>
        <w:tblW w:type="auto" w:w="0"/>
        <w:jc w:val="center"/>
        <w:tblLayout w:type="fixed"/>
        <w:tblLook w:firstColumn="1" w:firstRow="1" w:lastColumn="0" w:lastRow="0" w:noHBand="0" w:noVBand="1" w:val="04A0"/>
      </w:tblPr>
      <w:tblGrid>
        <w:gridCol w:w="792"/>
        <w:gridCol w:w="4536"/>
        <w:gridCol w:w="1728"/>
        <w:gridCol w:w="2304"/>
      </w:tblGrid>
      <w:tr>
        <w:trPr>
          <w:tblHeader w:val="true"/>
          <w:cantSplit w:val="true"/>
        </w:trPr>
        <w:tc>
          <w:tcPr>
            <w:tcW w:type="dxa" w:w="792"/>
          </w:tcPr>
          <w:p>
            <w:pPr>
              <w:spacing w:after="0"/>
              <w:jc w:val="center"/>
            </w:pPr>
            <w:r/>
            <w:r>
              <w:rPr>
                <w:rFonts w:ascii="Helvetica" w:hAnsi="Helvetica" w:cs="Helvetica" w:eastAsia="Helvetica"/>
                <w:b/>
                <w:sz w:val="22"/>
              </w:rPr>
              <w:t>Done</w:t>
            </w:r>
          </w:p>
        </w:tc>
        <w:tc>
          <w:tcPr>
            <w:tcW w:type="dxa" w:w="4536"/>
          </w:tcPr>
          <w:p>
            <w:pPr>
              <w:spacing w:after="0"/>
              <w:jc w:val="center"/>
            </w:pPr>
            <w:r/>
            <w:r>
              <w:rPr>
                <w:rFonts w:ascii="Helvetica" w:hAnsi="Helvetica" w:cs="Helvetica" w:eastAsia="Helvetica"/>
                <w:b/>
                <w:sz w:val="22"/>
              </w:rPr>
              <w:t>Item</w:t>
            </w:r>
          </w:p>
        </w:tc>
        <w:tc>
          <w:tcPr>
            <w:tcW w:type="dxa" w:w="1728"/>
          </w:tcPr>
          <w:p>
            <w:pPr>
              <w:spacing w:after="0"/>
              <w:jc w:val="center"/>
            </w:pPr>
            <w:r/>
            <w:r>
              <w:rPr>
                <w:rFonts w:ascii="Helvetica" w:hAnsi="Helvetica" w:cs="Helvetica" w:eastAsia="Helvetica"/>
                <w:b/>
                <w:sz w:val="22"/>
              </w:rPr>
              <w:t>Rule</w:t>
            </w:r>
          </w:p>
        </w:tc>
        <w:tc>
          <w:tcPr>
            <w:tcW w:type="dxa" w:w="2304"/>
          </w:tcPr>
          <w:p>
            <w:pPr>
              <w:spacing w:after="0"/>
              <w:jc w:val="center"/>
            </w:pPr>
            <w:r/>
            <w:r>
              <w:rPr>
                <w:rFonts w:ascii="Helvetica" w:hAnsi="Helvetica" w:cs="Helvetica" w:eastAsia="Helvetica"/>
                <w:b/>
                <w:sz w:val="22"/>
              </w:rPr>
              <w:t>Notes</w:t>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Tribal land: amount negotiated, valuation waived by tribal authorization, or BIA asked for fair market value first</w:t>
            </w:r>
          </w:p>
        </w:tc>
        <w:tc>
          <w:tcPr>
            <w:tcW w:type="dxa" w:w="1728"/>
          </w:tcPr>
          <w:p>
            <w:pPr>
              <w:spacing w:after="0"/>
            </w:pPr>
            <w:r/>
            <w:r>
              <w:rPr>
                <w:rFonts w:ascii="Helvetica" w:hAnsi="Helvetica" w:cs="Helvetica" w:eastAsia="Helvetica"/>
                <w:b w:val="0"/>
                <w:sz w:val="22"/>
              </w:rPr>
              <w:t>169.110</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Allotted land: at least fair market value, unless an exception applies</w:t>
            </w:r>
          </w:p>
        </w:tc>
        <w:tc>
          <w:tcPr>
            <w:tcW w:type="dxa" w:w="1728"/>
          </w:tcPr>
          <w:p>
            <w:pPr>
              <w:spacing w:after="0"/>
            </w:pPr>
            <w:r/>
            <w:r>
              <w:rPr>
                <w:rFonts w:ascii="Helvetica" w:hAnsi="Helvetica" w:cs="Helvetica" w:eastAsia="Helvetica"/>
                <w:b w:val="0"/>
                <w:sz w:val="22"/>
              </w:rPr>
              <w:t>169.112(a)</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Allotted land: request for nominal or reduced payment (tribal utility, utility cooperative that directly benefits the land, or written owner waiver)</w:t>
            </w:r>
          </w:p>
        </w:tc>
        <w:tc>
          <w:tcPr>
            <w:tcW w:type="dxa" w:w="1728"/>
          </w:tcPr>
          <w:p>
            <w:pPr>
              <w:spacing w:after="0"/>
            </w:pPr>
            <w:r/>
            <w:r>
              <w:rPr>
                <w:rFonts w:ascii="Helvetica" w:hAnsi="Helvetica" w:cs="Helvetica" w:eastAsia="Helvetica"/>
                <w:b w:val="0"/>
                <w:sz w:val="22"/>
              </w:rPr>
              <w:t>169.112(b)</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Allotted land: valuation waiver, if used</w:t>
            </w:r>
          </w:p>
        </w:tc>
        <w:tc>
          <w:tcPr>
            <w:tcW w:type="dxa" w:w="1728"/>
          </w:tcPr>
          <w:p>
            <w:pPr>
              <w:spacing w:after="0"/>
            </w:pPr>
            <w:r/>
            <w:r>
              <w:rPr>
                <w:rFonts w:ascii="Helvetica" w:hAnsi="Helvetica" w:cs="Helvetica" w:eastAsia="Helvetica"/>
                <w:b w:val="0"/>
                <w:sz w:val="22"/>
              </w:rPr>
              <w:t>169.112(c)</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Fair market value set for owners who did not consent</w:t>
            </w:r>
          </w:p>
        </w:tc>
        <w:tc>
          <w:tcPr>
            <w:tcW w:type="dxa" w:w="1728"/>
          </w:tcPr>
          <w:p>
            <w:pPr>
              <w:spacing w:after="0"/>
            </w:pPr>
            <w:r/>
            <w:r>
              <w:rPr>
                <w:rFonts w:ascii="Helvetica" w:hAnsi="Helvetica" w:cs="Helvetica" w:eastAsia="Helvetica"/>
                <w:b w:val="0"/>
                <w:sz w:val="22"/>
              </w:rPr>
              <w:t>169.112(d)</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Valuation method confirmed with BIA</w:t>
            </w:r>
          </w:p>
        </w:tc>
        <w:tc>
          <w:tcPr>
            <w:tcW w:type="dxa" w:w="1728"/>
          </w:tcPr>
          <w:p>
            <w:pPr>
              <w:spacing w:after="0"/>
            </w:pPr>
            <w:r/>
            <w:r>
              <w:rPr>
                <w:rFonts w:ascii="Helvetica" w:hAnsi="Helvetica" w:cs="Helvetica" w:eastAsia="Helvetica"/>
                <w:b w:val="0"/>
                <w:sz w:val="22"/>
              </w:rPr>
              <w:t>169.114</w:t>
            </w:r>
          </w:p>
        </w:tc>
        <w:tc>
          <w:tcPr>
            <w:tcW w:type="dxa" w:w="2304"/>
          </w:tcPr>
          <w:p>
            <w:pPr>
              <w:spacing w:after="0"/>
            </w:pPr>
            <w:r/>
            <w:r>
              <w:rPr>
                <w:rFonts w:ascii="Helvetica" w:hAnsi="Helvetica" w:cs="Helvetica" w:eastAsia="Helvetica"/>
                <w:b w:val="0"/>
                <w:sz w:val="22"/>
              </w:rPr>
            </w:r>
          </w:p>
        </w:tc>
      </w:tr>
    </w:tbl>
    <w:p>
      <w:pPr>
        <w:spacing w:after="0"/>
      </w:pPr>
    </w:p>
    <w:p>
      <w:pPr>
        <w:pStyle w:val="Heading1"/>
      </w:pPr>
      <w:r>
        <w:t>5. Environmental and cultural review</w:t>
      </w:r>
    </w:p>
    <w:tbl>
      <w:tblPr>
        <w:tblStyle w:val="TableGrid"/>
        <w:tblW w:type="auto" w:w="0"/>
        <w:jc w:val="center"/>
        <w:tblLayout w:type="fixed"/>
        <w:tblLook w:firstColumn="1" w:firstRow="1" w:lastColumn="0" w:lastRow="0" w:noHBand="0" w:noVBand="1" w:val="04A0"/>
      </w:tblPr>
      <w:tblGrid>
        <w:gridCol w:w="792"/>
        <w:gridCol w:w="4536"/>
        <w:gridCol w:w="1728"/>
        <w:gridCol w:w="2304"/>
      </w:tblGrid>
      <w:tr>
        <w:trPr>
          <w:tblHeader w:val="true"/>
          <w:cantSplit w:val="true"/>
        </w:trPr>
        <w:tc>
          <w:tcPr>
            <w:tcW w:type="dxa" w:w="792"/>
          </w:tcPr>
          <w:p>
            <w:pPr>
              <w:spacing w:after="0"/>
              <w:jc w:val="center"/>
            </w:pPr>
            <w:r/>
            <w:r>
              <w:rPr>
                <w:rFonts w:ascii="Helvetica" w:hAnsi="Helvetica" w:cs="Helvetica" w:eastAsia="Helvetica"/>
                <w:b/>
                <w:sz w:val="22"/>
              </w:rPr>
              <w:t>Done</w:t>
            </w:r>
          </w:p>
        </w:tc>
        <w:tc>
          <w:tcPr>
            <w:tcW w:type="dxa" w:w="4536"/>
          </w:tcPr>
          <w:p>
            <w:pPr>
              <w:spacing w:after="0"/>
              <w:jc w:val="center"/>
            </w:pPr>
            <w:r/>
            <w:r>
              <w:rPr>
                <w:rFonts w:ascii="Helvetica" w:hAnsi="Helvetica" w:cs="Helvetica" w:eastAsia="Helvetica"/>
                <w:b/>
                <w:sz w:val="22"/>
              </w:rPr>
              <w:t>Item</w:t>
            </w:r>
          </w:p>
        </w:tc>
        <w:tc>
          <w:tcPr>
            <w:tcW w:type="dxa" w:w="1728"/>
          </w:tcPr>
          <w:p>
            <w:pPr>
              <w:spacing w:after="0"/>
              <w:jc w:val="center"/>
            </w:pPr>
            <w:r/>
            <w:r>
              <w:rPr>
                <w:rFonts w:ascii="Helvetica" w:hAnsi="Helvetica" w:cs="Helvetica" w:eastAsia="Helvetica"/>
                <w:b/>
                <w:sz w:val="22"/>
              </w:rPr>
              <w:t>Rule</w:t>
            </w:r>
          </w:p>
        </w:tc>
        <w:tc>
          <w:tcPr>
            <w:tcW w:type="dxa" w:w="2304"/>
          </w:tcPr>
          <w:p>
            <w:pPr>
              <w:spacing w:after="0"/>
              <w:jc w:val="center"/>
            </w:pPr>
            <w:r/>
            <w:r>
              <w:rPr>
                <w:rFonts w:ascii="Helvetica" w:hAnsi="Helvetica" w:cs="Helvetica" w:eastAsia="Helvetica"/>
                <w:b/>
                <w:sz w:val="22"/>
              </w:rPr>
              <w:t>Notes</w:t>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Environmental, historic-preservation, and cultural-resource review planned with BIA</w:t>
            </w:r>
          </w:p>
        </w:tc>
        <w:tc>
          <w:tcPr>
            <w:tcW w:type="dxa" w:w="1728"/>
          </w:tcPr>
          <w:p>
            <w:pPr>
              <w:spacing w:after="0"/>
            </w:pPr>
            <w:r/>
            <w:r>
              <w:rPr>
                <w:rFonts w:ascii="Helvetica" w:hAnsi="Helvetica" w:cs="Helvetica" w:eastAsia="Helvetica"/>
                <w:b w:val="0"/>
                <w:sz w:val="22"/>
              </w:rPr>
              <w:t>169.123(a)</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NEPA (National Environmental Policy Act) documents ready for the package</w:t>
            </w:r>
          </w:p>
        </w:tc>
        <w:tc>
          <w:tcPr>
            <w:tcW w:type="dxa" w:w="1728"/>
          </w:tcPr>
          <w:p>
            <w:pPr>
              <w:spacing w:after="0"/>
            </w:pPr>
            <w:r/>
            <w:r>
              <w:rPr>
                <w:rFonts w:ascii="Helvetica" w:hAnsi="Helvetica" w:cs="Helvetica" w:eastAsia="Helvetica"/>
                <w:b w:val="0"/>
                <w:sz w:val="22"/>
              </w:rPr>
              <w:t>169.123(b)</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NHPA (National Historic Preservation Act) Section 106 review discussed</w:t>
            </w:r>
          </w:p>
        </w:tc>
        <w:tc>
          <w:tcPr>
            <w:tcW w:type="dxa" w:w="1728"/>
          </w:tcPr>
          <w:p>
            <w:pPr>
              <w:spacing w:after="0"/>
            </w:pPr>
            <w:r/>
            <w:r>
              <w:rPr>
                <w:rFonts w:ascii="Helvetica" w:hAnsi="Helvetica" w:cs="Helvetica" w:eastAsia="Helvetica"/>
                <w:b w:val="0"/>
                <w:sz w:val="22"/>
              </w:rPr>
              <w:t>169.123(a)</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ESA (Endangered Species Act) and other federal environmental laws checked</w:t>
            </w:r>
          </w:p>
        </w:tc>
        <w:tc>
          <w:tcPr>
            <w:tcW w:type="dxa" w:w="1728"/>
          </w:tcPr>
          <w:p>
            <w:pPr>
              <w:spacing w:after="0"/>
            </w:pPr>
            <w:r/>
            <w:r>
              <w:rPr>
                <w:rFonts w:ascii="Helvetica" w:hAnsi="Helvetica" w:cs="Helvetica" w:eastAsia="Helvetica"/>
                <w:b w:val="0"/>
                <w:sz w:val="22"/>
              </w:rPr>
              <w:t>169.123(a)</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Asked NTIA and BIA whether an NTIA (National Telecommunications and Information Administration) categorical exclusion fits</w:t>
            </w:r>
          </w:p>
        </w:tc>
        <w:tc>
          <w:tcPr>
            <w:tcW w:type="dxa" w:w="1728"/>
          </w:tcPr>
          <w:p>
            <w:pPr>
              <w:spacing w:after="0"/>
            </w:pPr>
            <w:r/>
            <w:r>
              <w:rPr>
                <w:rFonts w:ascii="Helvetica" w:hAnsi="Helvetica" w:cs="Helvetica" w:eastAsia="Helvetica"/>
                <w:b w:val="0"/>
                <w:sz w:val="22"/>
              </w:rPr>
              <w:t>NTIA (2024)</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Extraordinary circumstances checked: traditional cultural properties, sacred sites, tribal law</w:t>
            </w:r>
          </w:p>
        </w:tc>
        <w:tc>
          <w:tcPr>
            <w:tcW w:type="dxa" w:w="1728"/>
          </w:tcPr>
          <w:p>
            <w:pPr>
              <w:spacing w:after="0"/>
            </w:pPr>
            <w:r/>
            <w:r>
              <w:rPr>
                <w:rFonts w:ascii="Helvetica" w:hAnsi="Helvetica" w:cs="Helvetica" w:eastAsia="Helvetica"/>
                <w:b w:val="0"/>
                <w:sz w:val="22"/>
              </w:rPr>
              <w:t>NTIA (2024)</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For TBCP (Tribal Broadband Connectivity Program) projects, NTIA and BIA review coordination confirmed</w:t>
            </w:r>
          </w:p>
        </w:tc>
        <w:tc>
          <w:tcPr>
            <w:tcW w:type="dxa" w:w="1728"/>
          </w:tcPr>
          <w:p>
            <w:pPr>
              <w:spacing w:after="0"/>
            </w:pPr>
            <w:r/>
            <w:r>
              <w:rPr>
                <w:rFonts w:ascii="Helvetica" w:hAnsi="Helvetica" w:cs="Helvetica" w:eastAsia="Helvetica"/>
                <w:b w:val="0"/>
                <w:sz w:val="22"/>
              </w:rPr>
              <w:t>NTIA (2022)</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Crews told to stop work if unreported cultural resources are found</w:t>
            </w:r>
          </w:p>
        </w:tc>
        <w:tc>
          <w:tcPr>
            <w:tcW w:type="dxa" w:w="1728"/>
          </w:tcPr>
          <w:p>
            <w:pPr>
              <w:spacing w:after="0"/>
            </w:pPr>
            <w:r/>
            <w:r>
              <w:rPr>
                <w:rFonts w:ascii="Helvetica" w:hAnsi="Helvetica" w:cs="Helvetica" w:eastAsia="Helvetica"/>
                <w:b w:val="0"/>
                <w:sz w:val="22"/>
              </w:rPr>
              <w:t>169.125(c)(4)</w:t>
            </w:r>
          </w:p>
        </w:tc>
        <w:tc>
          <w:tcPr>
            <w:tcW w:type="dxa" w:w="2304"/>
          </w:tcPr>
          <w:p>
            <w:pPr>
              <w:spacing w:after="0"/>
            </w:pPr>
            <w:r/>
            <w:r>
              <w:rPr>
                <w:rFonts w:ascii="Helvetica" w:hAnsi="Helvetica" w:cs="Helvetica" w:eastAsia="Helvetica"/>
                <w:b w:val="0"/>
                <w:sz w:val="22"/>
              </w:rPr>
            </w:r>
          </w:p>
        </w:tc>
      </w:tr>
    </w:tbl>
    <w:p>
      <w:pPr>
        <w:spacing w:after="0"/>
      </w:pPr>
    </w:p>
    <w:p>
      <w:pPr>
        <w:pStyle w:val="Heading1"/>
      </w:pPr>
      <w:r>
        <w:t>6. Security and insurance</w:t>
      </w:r>
    </w:p>
    <w:tbl>
      <w:tblPr>
        <w:tblStyle w:val="TableGrid"/>
        <w:tblW w:type="auto" w:w="0"/>
        <w:jc w:val="center"/>
        <w:tblLayout w:type="fixed"/>
        <w:tblLook w:firstColumn="1" w:firstRow="1" w:lastColumn="0" w:lastRow="0" w:noHBand="0" w:noVBand="1" w:val="04A0"/>
      </w:tblPr>
      <w:tblGrid>
        <w:gridCol w:w="792"/>
        <w:gridCol w:w="4536"/>
        <w:gridCol w:w="1728"/>
        <w:gridCol w:w="2304"/>
      </w:tblGrid>
      <w:tr>
        <w:trPr>
          <w:tblHeader w:val="true"/>
          <w:cantSplit w:val="true"/>
        </w:trPr>
        <w:tc>
          <w:tcPr>
            <w:tcW w:type="dxa" w:w="792"/>
          </w:tcPr>
          <w:p>
            <w:pPr>
              <w:spacing w:after="0"/>
              <w:jc w:val="center"/>
            </w:pPr>
            <w:r/>
            <w:r>
              <w:rPr>
                <w:rFonts w:ascii="Helvetica" w:hAnsi="Helvetica" w:cs="Helvetica" w:eastAsia="Helvetica"/>
                <w:b/>
                <w:sz w:val="22"/>
              </w:rPr>
              <w:t>Done</w:t>
            </w:r>
          </w:p>
        </w:tc>
        <w:tc>
          <w:tcPr>
            <w:tcW w:type="dxa" w:w="4536"/>
          </w:tcPr>
          <w:p>
            <w:pPr>
              <w:spacing w:after="0"/>
              <w:jc w:val="center"/>
            </w:pPr>
            <w:r/>
            <w:r>
              <w:rPr>
                <w:rFonts w:ascii="Helvetica" w:hAnsi="Helvetica" w:cs="Helvetica" w:eastAsia="Helvetica"/>
                <w:b/>
                <w:sz w:val="22"/>
              </w:rPr>
              <w:t>Item</w:t>
            </w:r>
          </w:p>
        </w:tc>
        <w:tc>
          <w:tcPr>
            <w:tcW w:type="dxa" w:w="1728"/>
          </w:tcPr>
          <w:p>
            <w:pPr>
              <w:spacing w:after="0"/>
              <w:jc w:val="center"/>
            </w:pPr>
            <w:r/>
            <w:r>
              <w:rPr>
                <w:rFonts w:ascii="Helvetica" w:hAnsi="Helvetica" w:cs="Helvetica" w:eastAsia="Helvetica"/>
                <w:b/>
                <w:sz w:val="22"/>
              </w:rPr>
              <w:t>Rule</w:t>
            </w:r>
          </w:p>
        </w:tc>
        <w:tc>
          <w:tcPr>
            <w:tcW w:type="dxa" w:w="2304"/>
          </w:tcPr>
          <w:p>
            <w:pPr>
              <w:spacing w:after="0"/>
              <w:jc w:val="center"/>
            </w:pPr>
            <w:r/>
            <w:r>
              <w:rPr>
                <w:rFonts w:ascii="Helvetica" w:hAnsi="Helvetica" w:cs="Helvetica" w:eastAsia="Helvetica"/>
                <w:b/>
                <w:sz w:val="22"/>
              </w:rPr>
              <w:t>Notes</w:t>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Bond or other security arranged (no cash bonds)</w:t>
            </w:r>
          </w:p>
        </w:tc>
        <w:tc>
          <w:tcPr>
            <w:tcW w:type="dxa" w:w="1728"/>
          </w:tcPr>
          <w:p>
            <w:pPr>
              <w:spacing w:after="0"/>
            </w:pPr>
            <w:r/>
            <w:r>
              <w:rPr>
                <w:rFonts w:ascii="Helvetica" w:hAnsi="Helvetica" w:cs="Helvetica" w:eastAsia="Helvetica"/>
                <w:b w:val="0"/>
                <w:sz w:val="22"/>
              </w:rPr>
              <w:t>169.103, 169.103(j)</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Insurance names the landowners and the United States as additional insureds</w:t>
            </w:r>
          </w:p>
        </w:tc>
        <w:tc>
          <w:tcPr>
            <w:tcW w:type="dxa" w:w="1728"/>
          </w:tcPr>
          <w:p>
            <w:pPr>
              <w:spacing w:after="0"/>
            </w:pPr>
            <w:r/>
            <w:r>
              <w:rPr>
                <w:rFonts w:ascii="Helvetica" w:hAnsi="Helvetica" w:cs="Helvetica" w:eastAsia="Helvetica"/>
                <w:b w:val="0"/>
                <w:sz w:val="22"/>
              </w:rPr>
              <w:t>169.103(b)</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Waiver requested, if eligible (tribe's decision on tribal land; majority owners, tribal utility, or utility cooperative on allotted land)</w:t>
            </w:r>
          </w:p>
        </w:tc>
        <w:tc>
          <w:tcPr>
            <w:tcW w:type="dxa" w:w="1728"/>
          </w:tcPr>
          <w:p>
            <w:pPr>
              <w:spacing w:after="0"/>
            </w:pPr>
            <w:r/>
            <w:r>
              <w:rPr>
                <w:rFonts w:ascii="Helvetica" w:hAnsi="Helvetica" w:cs="Helvetica" w:eastAsia="Helvetica"/>
                <w:b w:val="0"/>
                <w:sz w:val="22"/>
              </w:rPr>
              <w:t>169.103(f)</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Government exemption claimed, if barred by law from posting security</w:t>
            </w:r>
          </w:p>
        </w:tc>
        <w:tc>
          <w:tcPr>
            <w:tcW w:type="dxa" w:w="1728"/>
          </w:tcPr>
          <w:p>
            <w:pPr>
              <w:spacing w:after="0"/>
            </w:pPr>
            <w:r/>
            <w:r>
              <w:rPr>
                <w:rFonts w:ascii="Helvetica" w:hAnsi="Helvetica" w:cs="Helvetica" w:eastAsia="Helvetica"/>
                <w:b w:val="0"/>
                <w:sz w:val="22"/>
              </w:rPr>
              <w:t>169.103(k)</w:t>
            </w:r>
          </w:p>
        </w:tc>
        <w:tc>
          <w:tcPr>
            <w:tcW w:type="dxa" w:w="2304"/>
          </w:tcPr>
          <w:p>
            <w:pPr>
              <w:spacing w:after="0"/>
            </w:pPr>
            <w:r/>
            <w:r>
              <w:rPr>
                <w:rFonts w:ascii="Helvetica" w:hAnsi="Helvetica" w:cs="Helvetica" w:eastAsia="Helvetica"/>
                <w:b w:val="0"/>
                <w:sz w:val="22"/>
              </w:rPr>
            </w:r>
          </w:p>
        </w:tc>
      </w:tr>
    </w:tbl>
    <w:p>
      <w:pPr>
        <w:spacing w:after="0"/>
      </w:pPr>
    </w:p>
    <w:p>
      <w:pPr>
        <w:pStyle w:val="Heading1"/>
      </w:pPr>
      <w:r>
        <w:t>7. Submission and BIA review</w:t>
      </w:r>
    </w:p>
    <w:tbl>
      <w:tblPr>
        <w:tblStyle w:val="TableGrid"/>
        <w:tblW w:type="auto" w:w="0"/>
        <w:jc w:val="center"/>
        <w:tblLayout w:type="fixed"/>
        <w:tblLook w:firstColumn="1" w:firstRow="1" w:lastColumn="0" w:lastRow="0" w:noHBand="0" w:noVBand="1" w:val="04A0"/>
      </w:tblPr>
      <w:tblGrid>
        <w:gridCol w:w="5616"/>
        <w:gridCol w:w="1728"/>
        <w:gridCol w:w="2015"/>
      </w:tblGrid>
      <w:tr>
        <w:trPr>
          <w:tblHeader w:val="true"/>
          <w:cantSplit w:val="true"/>
        </w:trPr>
        <w:tc>
          <w:tcPr>
            <w:tcW w:type="dxa" w:w="5616"/>
          </w:tcPr>
          <w:p>
            <w:pPr>
              <w:spacing w:after="0"/>
              <w:jc w:val="center"/>
            </w:pPr>
            <w:r/>
            <w:r>
              <w:rPr>
                <w:rFonts w:ascii="Helvetica" w:hAnsi="Helvetica" w:cs="Helvetica" w:eastAsia="Helvetica"/>
                <w:b/>
                <w:sz w:val="22"/>
              </w:rPr>
              <w:t>Item</w:t>
            </w:r>
          </w:p>
        </w:tc>
        <w:tc>
          <w:tcPr>
            <w:tcW w:type="dxa" w:w="1728"/>
          </w:tcPr>
          <w:p>
            <w:pPr>
              <w:spacing w:after="0"/>
              <w:jc w:val="center"/>
            </w:pPr>
            <w:r/>
            <w:r>
              <w:rPr>
                <w:rFonts w:ascii="Helvetica" w:hAnsi="Helvetica" w:cs="Helvetica" w:eastAsia="Helvetica"/>
                <w:b/>
                <w:sz w:val="22"/>
              </w:rPr>
              <w:t>Rule</w:t>
            </w:r>
          </w:p>
        </w:tc>
        <w:tc>
          <w:tcPr>
            <w:tcW w:type="dxa" w:w="2016"/>
          </w:tcPr>
          <w:p>
            <w:pPr>
              <w:spacing w:after="0"/>
              <w:jc w:val="center"/>
            </w:pPr>
            <w:r/>
            <w:r>
              <w:rPr>
                <w:rFonts w:ascii="Helvetica" w:hAnsi="Helvetica" w:cs="Helvetica" w:eastAsia="Helvetica"/>
                <w:b/>
                <w:sz w:val="22"/>
              </w:rPr>
              <w:t>Date</w:t>
            </w:r>
          </w:p>
        </w:tc>
      </w:tr>
      <w:tr>
        <w:trPr>
          <w:cantSplit w:val="true"/>
        </w:trPr>
        <w:tc>
          <w:tcPr>
            <w:tcW w:type="dxa" w:w="5616"/>
          </w:tcPr>
          <w:p>
            <w:pPr>
              <w:spacing w:after="0"/>
            </w:pPr>
            <w:r/>
            <w:r>
              <w:rPr>
                <w:rFonts w:ascii="Helvetica" w:hAnsi="Helvetica" w:cs="Helvetica" w:eastAsia="Helvetica"/>
                <w:b w:val="0"/>
                <w:sz w:val="22"/>
              </w:rPr>
              <w:t>Package sent; date BIA received it</w:t>
            </w:r>
          </w:p>
        </w:tc>
        <w:tc>
          <w:tcPr>
            <w:tcW w:type="dxa" w:w="1728"/>
          </w:tcPr>
          <w:p>
            <w:pPr>
              <w:spacing w:after="0"/>
            </w:pPr>
            <w:r/>
            <w:r>
              <w:rPr>
                <w:rFonts w:ascii="Helvetica" w:hAnsi="Helvetica" w:cs="Helvetica" w:eastAsia="Helvetica"/>
                <w:b w:val="0"/>
                <w:sz w:val="22"/>
              </w:rPr>
              <w:t>169.102</w:t>
            </w:r>
          </w:p>
        </w:tc>
        <w:tc>
          <w:tcPr>
            <w:tcW w:type="dxa" w:w="2016"/>
          </w:tcPr>
          <w:p>
            <w:pPr>
              <w:spacing w:after="0"/>
            </w:pPr>
            <w:r/>
            <w:r>
              <w:rPr>
                <w:rFonts w:ascii="Helvetica" w:hAnsi="Helvetica" w:cs="Helvetica" w:eastAsia="Helvetica"/>
                <w:b w:val="0"/>
                <w:sz w:val="22"/>
              </w:rPr>
            </w:r>
          </w:p>
        </w:tc>
      </w:tr>
      <w:tr>
        <w:trPr>
          <w:cantSplit w:val="true"/>
        </w:trPr>
        <w:tc>
          <w:tcPr>
            <w:tcW w:type="dxa" w:w="5616"/>
          </w:tcPr>
          <w:p>
            <w:pPr>
              <w:spacing w:after="0"/>
            </w:pPr>
            <w:r/>
            <w:r>
              <w:rPr>
                <w:rFonts w:ascii="Helvetica" w:hAnsi="Helvetica" w:cs="Helvetica" w:eastAsia="Helvetica"/>
                <w:b w:val="0"/>
                <w:sz w:val="22"/>
              </w:rPr>
              <w:t>BIA letter saying the package is complete</w:t>
            </w:r>
          </w:p>
        </w:tc>
        <w:tc>
          <w:tcPr>
            <w:tcW w:type="dxa" w:w="1728"/>
          </w:tcPr>
          <w:p>
            <w:pPr>
              <w:spacing w:after="0"/>
            </w:pPr>
            <w:r/>
            <w:r>
              <w:rPr>
                <w:rFonts w:ascii="Helvetica" w:hAnsi="Helvetica" w:cs="Helvetica" w:eastAsia="Helvetica"/>
                <w:b w:val="0"/>
                <w:sz w:val="22"/>
              </w:rPr>
              <w:t>169.123(b)</w:t>
            </w:r>
          </w:p>
        </w:tc>
        <w:tc>
          <w:tcPr>
            <w:tcW w:type="dxa" w:w="2016"/>
          </w:tcPr>
          <w:p>
            <w:pPr>
              <w:spacing w:after="0"/>
            </w:pPr>
            <w:r/>
            <w:r>
              <w:rPr>
                <w:rFonts w:ascii="Helvetica" w:hAnsi="Helvetica" w:cs="Helvetica" w:eastAsia="Helvetica"/>
                <w:b w:val="0"/>
                <w:sz w:val="22"/>
              </w:rPr>
            </w:r>
          </w:p>
        </w:tc>
      </w:tr>
      <w:tr>
        <w:trPr>
          <w:cantSplit w:val="true"/>
        </w:trPr>
        <w:tc>
          <w:tcPr>
            <w:tcW w:type="dxa" w:w="5616"/>
          </w:tcPr>
          <w:p>
            <w:pPr>
              <w:spacing w:after="0"/>
            </w:pPr>
            <w:r/>
            <w:r>
              <w:rPr>
                <w:rFonts w:ascii="Helvetica" w:hAnsi="Helvetica" w:cs="Helvetica" w:eastAsia="Helvetica"/>
                <w:b w:val="0"/>
                <w:sz w:val="22"/>
              </w:rPr>
              <w:t>BIA decision due: 60 days after a complete package</w:t>
            </w:r>
          </w:p>
        </w:tc>
        <w:tc>
          <w:tcPr>
            <w:tcW w:type="dxa" w:w="1728"/>
          </w:tcPr>
          <w:p>
            <w:pPr>
              <w:spacing w:after="0"/>
            </w:pPr>
            <w:r/>
            <w:r>
              <w:rPr>
                <w:rFonts w:ascii="Helvetica" w:hAnsi="Helvetica" w:cs="Helvetica" w:eastAsia="Helvetica"/>
                <w:b w:val="0"/>
                <w:sz w:val="22"/>
              </w:rPr>
              <w:t>169.123(b)</w:t>
            </w:r>
          </w:p>
        </w:tc>
        <w:tc>
          <w:tcPr>
            <w:tcW w:type="dxa" w:w="2016"/>
          </w:tcPr>
          <w:p>
            <w:pPr>
              <w:spacing w:after="0"/>
            </w:pPr>
            <w:r/>
            <w:r>
              <w:rPr>
                <w:rFonts w:ascii="Helvetica" w:hAnsi="Helvetica" w:cs="Helvetica" w:eastAsia="Helvetica"/>
                <w:b w:val="0"/>
                <w:sz w:val="22"/>
              </w:rPr>
            </w:r>
          </w:p>
        </w:tc>
      </w:tr>
      <w:tr>
        <w:trPr>
          <w:cantSplit w:val="true"/>
        </w:trPr>
        <w:tc>
          <w:tcPr>
            <w:tcW w:type="dxa" w:w="5616"/>
          </w:tcPr>
          <w:p>
            <w:pPr>
              <w:spacing w:after="0"/>
            </w:pPr>
            <w:r/>
            <w:r>
              <w:rPr>
                <w:rFonts w:ascii="Helvetica" w:hAnsi="Helvetica" w:cs="Helvetica" w:eastAsia="Helvetica"/>
                <w:b w:val="0"/>
                <w:sz w:val="22"/>
              </w:rPr>
              <w:t>BIA letter asking for more time (if any)</w:t>
            </w:r>
          </w:p>
        </w:tc>
        <w:tc>
          <w:tcPr>
            <w:tcW w:type="dxa" w:w="1728"/>
          </w:tcPr>
          <w:p>
            <w:pPr>
              <w:spacing w:after="0"/>
            </w:pPr>
            <w:r/>
            <w:r>
              <w:rPr>
                <w:rFonts w:ascii="Helvetica" w:hAnsi="Helvetica" w:cs="Helvetica" w:eastAsia="Helvetica"/>
                <w:b w:val="0"/>
                <w:sz w:val="22"/>
              </w:rPr>
              <w:t>169.123(b)</w:t>
            </w:r>
          </w:p>
        </w:tc>
        <w:tc>
          <w:tcPr>
            <w:tcW w:type="dxa" w:w="2016"/>
          </w:tcPr>
          <w:p>
            <w:pPr>
              <w:spacing w:after="0"/>
            </w:pPr>
            <w:r/>
            <w:r>
              <w:rPr>
                <w:rFonts w:ascii="Helvetica" w:hAnsi="Helvetica" w:cs="Helvetica" w:eastAsia="Helvetica"/>
                <w:b w:val="0"/>
                <w:sz w:val="22"/>
              </w:rPr>
            </w:r>
          </w:p>
        </w:tc>
      </w:tr>
      <w:tr>
        <w:trPr>
          <w:cantSplit w:val="true"/>
        </w:trPr>
        <w:tc>
          <w:tcPr>
            <w:tcW w:type="dxa" w:w="5616"/>
          </w:tcPr>
          <w:p>
            <w:pPr>
              <w:spacing w:after="0"/>
            </w:pPr>
            <w:r/>
            <w:r>
              <w:rPr>
                <w:rFonts w:ascii="Helvetica" w:hAnsi="Helvetica" w:cs="Helvetica" w:eastAsia="Helvetica"/>
                <w:b w:val="0"/>
                <w:sz w:val="22"/>
              </w:rPr>
              <w:t>Decision due: 30 days after that letter</w:t>
            </w:r>
          </w:p>
        </w:tc>
        <w:tc>
          <w:tcPr>
            <w:tcW w:type="dxa" w:w="1728"/>
          </w:tcPr>
          <w:p>
            <w:pPr>
              <w:spacing w:after="0"/>
            </w:pPr>
            <w:r/>
            <w:r>
              <w:rPr>
                <w:rFonts w:ascii="Helvetica" w:hAnsi="Helvetica" w:cs="Helvetica" w:eastAsia="Helvetica"/>
                <w:b w:val="0"/>
                <w:sz w:val="22"/>
              </w:rPr>
              <w:t>169.123(b)</w:t>
            </w:r>
          </w:p>
        </w:tc>
        <w:tc>
          <w:tcPr>
            <w:tcW w:type="dxa" w:w="2016"/>
          </w:tcPr>
          <w:p>
            <w:pPr>
              <w:spacing w:after="0"/>
            </w:pPr>
            <w:r/>
            <w:r>
              <w:rPr>
                <w:rFonts w:ascii="Helvetica" w:hAnsi="Helvetica" w:cs="Helvetica" w:eastAsia="Helvetica"/>
                <w:b w:val="0"/>
                <w:sz w:val="22"/>
              </w:rPr>
            </w:r>
          </w:p>
        </w:tc>
      </w:tr>
      <w:tr>
        <w:trPr>
          <w:cantSplit w:val="true"/>
        </w:trPr>
        <w:tc>
          <w:tcPr>
            <w:tcW w:type="dxa" w:w="5616"/>
          </w:tcPr>
          <w:p>
            <w:pPr>
              <w:spacing w:after="0"/>
            </w:pPr>
            <w:r/>
            <w:r>
              <w:rPr>
                <w:rFonts w:ascii="Helvetica" w:hAnsi="Helvetica" w:cs="Helvetica" w:eastAsia="Helvetica"/>
                <w:b w:val="0"/>
                <w:sz w:val="22"/>
              </w:rPr>
              <w:t>Notice to compel sent to the Regional Director (15 days to act)</w:t>
            </w:r>
          </w:p>
        </w:tc>
        <w:tc>
          <w:tcPr>
            <w:tcW w:type="dxa" w:w="1728"/>
          </w:tcPr>
          <w:p>
            <w:pPr>
              <w:spacing w:after="0"/>
            </w:pPr>
            <w:r/>
            <w:r>
              <w:rPr>
                <w:rFonts w:ascii="Helvetica" w:hAnsi="Helvetica" w:cs="Helvetica" w:eastAsia="Helvetica"/>
                <w:b w:val="0"/>
                <w:sz w:val="22"/>
              </w:rPr>
              <w:t>169.304</w:t>
            </w:r>
          </w:p>
        </w:tc>
        <w:tc>
          <w:tcPr>
            <w:tcW w:type="dxa" w:w="2016"/>
          </w:tcPr>
          <w:p>
            <w:pPr>
              <w:spacing w:after="0"/>
            </w:pPr>
            <w:r/>
            <w:r>
              <w:rPr>
                <w:rFonts w:ascii="Helvetica" w:hAnsi="Helvetica" w:cs="Helvetica" w:eastAsia="Helvetica"/>
                <w:b w:val="0"/>
                <w:sz w:val="22"/>
              </w:rPr>
            </w:r>
          </w:p>
        </w:tc>
      </w:tr>
      <w:tr>
        <w:trPr>
          <w:cantSplit w:val="true"/>
        </w:trPr>
        <w:tc>
          <w:tcPr>
            <w:tcW w:type="dxa" w:w="5616"/>
          </w:tcPr>
          <w:p>
            <w:pPr>
              <w:spacing w:after="0"/>
            </w:pPr>
            <w:r/>
            <w:r>
              <w:rPr>
                <w:rFonts w:ascii="Helvetica" w:hAnsi="Helvetica" w:cs="Helvetica" w:eastAsia="Helvetica"/>
                <w:b w:val="0"/>
                <w:sz w:val="22"/>
              </w:rPr>
              <w:t>Notice to compel sent to the BIA Director (15 days to act)</w:t>
            </w:r>
          </w:p>
        </w:tc>
        <w:tc>
          <w:tcPr>
            <w:tcW w:type="dxa" w:w="1728"/>
          </w:tcPr>
          <w:p>
            <w:pPr>
              <w:spacing w:after="0"/>
            </w:pPr>
            <w:r/>
            <w:r>
              <w:rPr>
                <w:rFonts w:ascii="Helvetica" w:hAnsi="Helvetica" w:cs="Helvetica" w:eastAsia="Helvetica"/>
                <w:b w:val="0"/>
                <w:sz w:val="22"/>
              </w:rPr>
              <w:t>169.304</w:t>
            </w:r>
          </w:p>
        </w:tc>
        <w:tc>
          <w:tcPr>
            <w:tcW w:type="dxa" w:w="2016"/>
          </w:tcPr>
          <w:p>
            <w:pPr>
              <w:spacing w:after="0"/>
            </w:pPr>
            <w:r/>
            <w:r>
              <w:rPr>
                <w:rFonts w:ascii="Helvetica" w:hAnsi="Helvetica" w:cs="Helvetica" w:eastAsia="Helvetica"/>
                <w:b w:val="0"/>
                <w:sz w:val="22"/>
              </w:rPr>
            </w:r>
          </w:p>
        </w:tc>
      </w:tr>
      <w:tr>
        <w:trPr>
          <w:cantSplit w:val="true"/>
        </w:trPr>
        <w:tc>
          <w:tcPr>
            <w:tcW w:type="dxa" w:w="5616"/>
          </w:tcPr>
          <w:p>
            <w:pPr>
              <w:spacing w:after="0"/>
            </w:pPr>
            <w:r/>
            <w:r>
              <w:rPr>
                <w:rFonts w:ascii="Helvetica" w:hAnsi="Helvetica" w:cs="Helvetica" w:eastAsia="Helvetica"/>
                <w:b w:val="0"/>
                <w:sz w:val="22"/>
              </w:rPr>
              <w:t>Appeal filed with the Interior Board of Indian Appeals (if needed)</w:t>
            </w:r>
          </w:p>
        </w:tc>
        <w:tc>
          <w:tcPr>
            <w:tcW w:type="dxa" w:w="1728"/>
          </w:tcPr>
          <w:p>
            <w:pPr>
              <w:spacing w:after="0"/>
            </w:pPr>
            <w:r/>
            <w:r>
              <w:rPr>
                <w:rFonts w:ascii="Helvetica" w:hAnsi="Helvetica" w:cs="Helvetica" w:eastAsia="Helvetica"/>
                <w:b w:val="0"/>
                <w:sz w:val="22"/>
              </w:rPr>
              <w:t>169.304</w:t>
            </w:r>
          </w:p>
        </w:tc>
        <w:tc>
          <w:tcPr>
            <w:tcW w:type="dxa" w:w="2016"/>
          </w:tcPr>
          <w:p>
            <w:pPr>
              <w:spacing w:after="0"/>
            </w:pPr>
            <w:r/>
            <w:r>
              <w:rPr>
                <w:rFonts w:ascii="Helvetica" w:hAnsi="Helvetica" w:cs="Helvetica" w:eastAsia="Helvetica"/>
                <w:b w:val="0"/>
                <w:sz w:val="22"/>
              </w:rPr>
            </w:r>
          </w:p>
        </w:tc>
      </w:tr>
      <w:tr>
        <w:trPr>
          <w:cantSplit w:val="true"/>
        </w:trPr>
        <w:tc>
          <w:tcPr>
            <w:tcW w:type="dxa" w:w="5616"/>
          </w:tcPr>
          <w:p>
            <w:pPr>
              <w:spacing w:after="0"/>
            </w:pPr>
            <w:r/>
            <w:r>
              <w:rPr>
                <w:rFonts w:ascii="Helvetica" w:hAnsi="Helvetica" w:cs="Helvetica" w:eastAsia="Helvetica"/>
                <w:b w:val="0"/>
                <w:sz w:val="22"/>
              </w:rPr>
              <w:t>Grant approved (effective date)</w:t>
            </w:r>
          </w:p>
        </w:tc>
        <w:tc>
          <w:tcPr>
            <w:tcW w:type="dxa" w:w="1728"/>
          </w:tcPr>
          <w:p>
            <w:pPr>
              <w:spacing w:after="0"/>
            </w:pPr>
            <w:r/>
            <w:r>
              <w:rPr>
                <w:rFonts w:ascii="Helvetica" w:hAnsi="Helvetica" w:cs="Helvetica" w:eastAsia="Helvetica"/>
                <w:b w:val="0"/>
                <w:sz w:val="22"/>
              </w:rPr>
              <w:t>169.301</w:t>
            </w:r>
          </w:p>
        </w:tc>
        <w:tc>
          <w:tcPr>
            <w:tcW w:type="dxa" w:w="2016"/>
          </w:tcPr>
          <w:p>
            <w:pPr>
              <w:spacing w:after="0"/>
            </w:pPr>
            <w:r/>
            <w:r>
              <w:rPr>
                <w:rFonts w:ascii="Helvetica" w:hAnsi="Helvetica" w:cs="Helvetica" w:eastAsia="Helvetica"/>
                <w:b w:val="0"/>
                <w:sz w:val="22"/>
              </w:rPr>
            </w:r>
          </w:p>
        </w:tc>
      </w:tr>
    </w:tbl>
    <w:p>
      <w:pPr>
        <w:spacing w:after="0"/>
      </w:pPr>
    </w:p>
    <w:p>
      <w:r>
        <w:t>Remember: a missed deadline does not mean the right-of-way is approved. BIA must grant unless it has a compelling reason not to (169.124).</w:t>
      </w:r>
    </w:p>
    <w:p>
      <w:pPr>
        <w:pStyle w:val="Heading1"/>
      </w:pPr>
      <w:r>
        <w:t>8. After the grant</w:t>
      </w:r>
    </w:p>
    <w:tbl>
      <w:tblPr>
        <w:tblStyle w:val="TableGrid"/>
        <w:tblW w:type="auto" w:w="0"/>
        <w:jc w:val="center"/>
        <w:tblLayout w:type="fixed"/>
        <w:tblLook w:firstColumn="1" w:firstRow="1" w:lastColumn="0" w:lastRow="0" w:noHBand="0" w:noVBand="1" w:val="04A0"/>
      </w:tblPr>
      <w:tblGrid>
        <w:gridCol w:w="792"/>
        <w:gridCol w:w="4536"/>
        <w:gridCol w:w="1728"/>
        <w:gridCol w:w="2304"/>
      </w:tblGrid>
      <w:tr>
        <w:trPr>
          <w:tblHeader w:val="true"/>
          <w:cantSplit w:val="true"/>
        </w:trPr>
        <w:tc>
          <w:tcPr>
            <w:tcW w:type="dxa" w:w="792"/>
          </w:tcPr>
          <w:p>
            <w:pPr>
              <w:spacing w:after="0"/>
              <w:jc w:val="center"/>
            </w:pPr>
            <w:r/>
            <w:r>
              <w:rPr>
                <w:rFonts w:ascii="Helvetica" w:hAnsi="Helvetica" w:cs="Helvetica" w:eastAsia="Helvetica"/>
                <w:b/>
                <w:sz w:val="22"/>
              </w:rPr>
              <w:t>Done</w:t>
            </w:r>
          </w:p>
        </w:tc>
        <w:tc>
          <w:tcPr>
            <w:tcW w:type="dxa" w:w="4536"/>
          </w:tcPr>
          <w:p>
            <w:pPr>
              <w:spacing w:after="0"/>
              <w:jc w:val="center"/>
            </w:pPr>
            <w:r/>
            <w:r>
              <w:rPr>
                <w:rFonts w:ascii="Helvetica" w:hAnsi="Helvetica" w:cs="Helvetica" w:eastAsia="Helvetica"/>
                <w:b/>
                <w:sz w:val="22"/>
              </w:rPr>
              <w:t>Item</w:t>
            </w:r>
          </w:p>
        </w:tc>
        <w:tc>
          <w:tcPr>
            <w:tcW w:type="dxa" w:w="1728"/>
          </w:tcPr>
          <w:p>
            <w:pPr>
              <w:spacing w:after="0"/>
              <w:jc w:val="center"/>
            </w:pPr>
            <w:r/>
            <w:r>
              <w:rPr>
                <w:rFonts w:ascii="Helvetica" w:hAnsi="Helvetica" w:cs="Helvetica" w:eastAsia="Helvetica"/>
                <w:b/>
                <w:sz w:val="22"/>
              </w:rPr>
              <w:t>Rule</w:t>
            </w:r>
          </w:p>
        </w:tc>
        <w:tc>
          <w:tcPr>
            <w:tcW w:type="dxa" w:w="2304"/>
          </w:tcPr>
          <w:p>
            <w:pPr>
              <w:spacing w:after="0"/>
              <w:jc w:val="center"/>
            </w:pPr>
            <w:r/>
            <w:r>
              <w:rPr>
                <w:rFonts w:ascii="Helvetica" w:hAnsi="Helvetica" w:cs="Helvetica" w:eastAsia="Helvetica"/>
                <w:b/>
                <w:sz w:val="22"/>
              </w:rPr>
              <w:t>Notes</w:t>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Grant recorded in the LTRO (Land Title and Records Office); copy in the project file</w:t>
            </w:r>
          </w:p>
        </w:tc>
        <w:tc>
          <w:tcPr>
            <w:tcW w:type="dxa" w:w="1728"/>
          </w:tcPr>
          <w:p>
            <w:pPr>
              <w:spacing w:after="0"/>
            </w:pPr>
            <w:r/>
            <w:r>
              <w:rPr>
                <w:rFonts w:ascii="Helvetica" w:hAnsi="Helvetica" w:cs="Helvetica" w:eastAsia="Helvetica"/>
                <w:b w:val="0"/>
                <w:sz w:val="22"/>
              </w:rPr>
              <w:t>169.301 to 169.302</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Title Status Reports updated to show the right-of-way</w:t>
            </w:r>
          </w:p>
        </w:tc>
        <w:tc>
          <w:tcPr>
            <w:tcW w:type="dxa" w:w="1728"/>
          </w:tcPr>
          <w:p>
            <w:pPr>
              <w:spacing w:after="0"/>
            </w:pPr>
            <w:r/>
            <w:r>
              <w:rPr>
                <w:rFonts w:ascii="Helvetica" w:hAnsi="Helvetica" w:cs="Helvetica" w:eastAsia="Helvetica"/>
                <w:b w:val="0"/>
                <w:sz w:val="22"/>
              </w:rPr>
              <w:t>51 IAM 1-H</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Term and renewal dates on the calendar</w:t>
            </w:r>
          </w:p>
        </w:tc>
        <w:tc>
          <w:tcPr>
            <w:tcW w:type="dxa" w:w="1728"/>
          </w:tcPr>
          <w:p>
            <w:pPr>
              <w:spacing w:after="0"/>
            </w:pPr>
            <w:r/>
            <w:r>
              <w:rPr>
                <w:rFonts w:ascii="Helvetica" w:hAnsi="Helvetica" w:cs="Helvetica" w:eastAsia="Helvetica"/>
                <w:b w:val="0"/>
                <w:sz w:val="22"/>
              </w:rPr>
              <w:t>169.201 to 169.203</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Any change of use (for example, copper to fiber) discussed with BIA before work starts</w:t>
            </w:r>
          </w:p>
        </w:tc>
        <w:tc>
          <w:tcPr>
            <w:tcW w:type="dxa" w:w="1728"/>
          </w:tcPr>
          <w:p>
            <w:pPr>
              <w:spacing w:after="0"/>
            </w:pPr>
            <w:r/>
            <w:r>
              <w:rPr>
                <w:rFonts w:ascii="Helvetica" w:hAnsi="Helvetica" w:cs="Helvetica" w:eastAsia="Helvetica"/>
                <w:b w:val="0"/>
                <w:sz w:val="22"/>
              </w:rPr>
              <w:t>NPM-TRUS-48, 169.204</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Assignments and mortgages only as the grant and BIA allow</w:t>
            </w:r>
          </w:p>
        </w:tc>
        <w:tc>
          <w:tcPr>
            <w:tcW w:type="dxa" w:w="1728"/>
          </w:tcPr>
          <w:p>
            <w:pPr>
              <w:spacing w:after="0"/>
            </w:pPr>
            <w:r/>
            <w:r>
              <w:rPr>
                <w:rFonts w:ascii="Helvetica" w:hAnsi="Helvetica" w:cs="Helvetica" w:eastAsia="Helvetica"/>
                <w:b w:val="0"/>
                <w:sz w:val="22"/>
              </w:rPr>
              <w:t>169.207, 169.210</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Service line agreements filed with BIA within 30 days, with plats</w:t>
            </w:r>
          </w:p>
        </w:tc>
        <w:tc>
          <w:tcPr>
            <w:tcW w:type="dxa" w:w="1728"/>
          </w:tcPr>
          <w:p>
            <w:pPr>
              <w:spacing w:after="0"/>
            </w:pPr>
            <w:r/>
            <w:r>
              <w:rPr>
                <w:rFonts w:ascii="Helvetica" w:hAnsi="Helvetica" w:cs="Helvetica" w:eastAsia="Helvetica"/>
                <w:b w:val="0"/>
                <w:sz w:val="22"/>
              </w:rPr>
              <w:t>169.56</w:t>
            </w:r>
          </w:p>
        </w:tc>
        <w:tc>
          <w:tcPr>
            <w:tcW w:type="dxa" w:w="2304"/>
          </w:tcPr>
          <w:p>
            <w:pPr>
              <w:spacing w:after="0"/>
            </w:pPr>
            <w:r/>
            <w:r>
              <w:rPr>
                <w:rFonts w:ascii="Helvetica" w:hAnsi="Helvetica" w:cs="Helvetica" w:eastAsia="Helvetica"/>
                <w:b w:val="0"/>
                <w:sz w:val="22"/>
              </w:rPr>
            </w:r>
          </w:p>
        </w:tc>
      </w:tr>
      <w:tr>
        <w:trPr>
          <w:cantSplit w:val="true"/>
        </w:trPr>
        <w:tc>
          <w:tcPr>
            <w:tcW w:type="dxa" w:w="792"/>
          </w:tcPr>
          <w:p>
            <w:pPr>
              <w:spacing w:after="0"/>
            </w:pPr>
            <w:r/>
            <w:r>
              <w:rPr>
                <w:rFonts w:ascii="Helvetica" w:hAnsi="Helvetica" w:cs="Helvetica" w:eastAsia="Helvetica"/>
                <w:b w:val="0"/>
                <w:sz w:val="22"/>
              </w:rPr>
              <w:t>☐</w:t>
            </w:r>
          </w:p>
        </w:tc>
        <w:tc>
          <w:tcPr>
            <w:tcW w:type="dxa" w:w="4536"/>
          </w:tcPr>
          <w:p>
            <w:pPr>
              <w:spacing w:after="0"/>
            </w:pPr>
            <w:r/>
            <w:r>
              <w:rPr>
                <w:rFonts w:ascii="Helvetica" w:hAnsi="Helvetica" w:cs="Helvetica" w:eastAsia="Helvetica"/>
                <w:b w:val="0"/>
                <w:sz w:val="22"/>
              </w:rPr>
              <w:t>Contact named for notices of violation (10 business days to cure)</w:t>
            </w:r>
          </w:p>
        </w:tc>
        <w:tc>
          <w:tcPr>
            <w:tcW w:type="dxa" w:w="1728"/>
          </w:tcPr>
          <w:p>
            <w:pPr>
              <w:spacing w:after="0"/>
            </w:pPr>
            <w:r/>
            <w:r>
              <w:rPr>
                <w:rFonts w:ascii="Helvetica" w:hAnsi="Helvetica" w:cs="Helvetica" w:eastAsia="Helvetica"/>
                <w:b w:val="0"/>
                <w:sz w:val="22"/>
              </w:rPr>
              <w:t>169.404</w:t>
            </w:r>
          </w:p>
        </w:tc>
        <w:tc>
          <w:tcPr>
            <w:tcW w:type="dxa" w:w="2304"/>
          </w:tcPr>
          <w:p>
            <w:pPr>
              <w:spacing w:after="0"/>
            </w:pPr>
            <w:r/>
            <w:r>
              <w:rPr>
                <w:rFonts w:ascii="Helvetica" w:hAnsi="Helvetica" w:cs="Helvetica" w:eastAsia="Helvetica"/>
                <w:b w:val="0"/>
                <w:sz w:val="22"/>
              </w:rPr>
            </w:r>
          </w:p>
        </w:tc>
      </w:tr>
    </w:tbl>
    <w:p>
      <w:pPr>
        <w:spacing w:after="0"/>
      </w:pPr>
    </w:p>
    <w:p>
      <w:pPr>
        <w:pStyle w:val="Heading1"/>
      </w:pPr>
      <w:r>
        <w:t>Notes and questions for the Agency</w:t>
      </w:r>
    </w:p>
    <w:p>
      <w:pPr>
        <w:spacing w:after="120"/>
      </w:pPr>
      <w:r>
        <w:t>__________________________________________________________________</w:t>
      </w:r>
    </w:p>
    <w:p>
      <w:pPr>
        <w:spacing w:after="120"/>
      </w:pPr>
      <w:r>
        <w:t>__________________________________________________________________</w:t>
      </w:r>
    </w:p>
    <w:p>
      <w:pPr>
        <w:spacing w:after="120"/>
      </w:pPr>
      <w:r>
        <w:t>__________________________________________________________________</w:t>
      </w:r>
    </w:p>
    <w:p>
      <w:pPr>
        <w:spacing w:after="120"/>
      </w:pPr>
      <w:r>
        <w:t>__________________________________________________________________</w:t>
      </w:r>
    </w:p>
    <w:p>
      <w:pPr>
        <w:spacing w:after="120"/>
      </w:pPr>
      <w:r>
        <w:t>__________________________________________________________________</w:t>
      </w:r>
    </w:p>
    <w:p>
      <w:pPr>
        <w:spacing w:after="120"/>
      </w:pPr>
      <w:r>
        <w:t>__________________________________________________________________</w:t>
      </w:r>
    </w:p>
    <w:p>
      <w:pPr>
        <w:pStyle w:val="Title"/>
      </w:pPr>
      <w:r>
        <w:t>References</w:t>
      </w:r>
    </w:p>
    <w:p>
      <w:pPr>
        <w:spacing w:line="480" w:lineRule="auto" w:after="0"/>
        <w:ind w:left="720" w:hanging="720"/>
      </w:pPr>
      <w:r>
        <w:t xml:space="preserve">Bureau of Indian Affairs. (n.d.). </w:t>
      </w:r>
      <w:r>
        <w:rPr>
          <w:i/>
        </w:rPr>
        <w:t>Apply for broadband right-of-way in Indian Country</w:t>
      </w:r>
      <w:r>
        <w:t>. https://www.bia.gov/service/broadband-access/apply-broadband-right-of-way</w:t>
      </w:r>
    </w:p>
    <w:p>
      <w:pPr>
        <w:spacing w:line="480" w:lineRule="auto" w:after="0"/>
        <w:ind w:left="720" w:hanging="720"/>
      </w:pPr>
      <w:r>
        <w:t xml:space="preserve">Bureau of Indian Affairs. (2022a). </w:t>
      </w:r>
      <w:r>
        <w:rPr>
          <w:i/>
        </w:rPr>
        <w:t>51 IAM 1-H: Land titles and records handbook</w:t>
      </w:r>
      <w:r>
        <w:t>. https://www.bia.gov/sites/default/files/dup/assets/public/raca/handbook/pdf/51-iam-1-h_ltro-handbook_final_signed_508.pdf</w:t>
      </w:r>
    </w:p>
    <w:p>
      <w:pPr>
        <w:spacing w:line="480" w:lineRule="auto" w:after="0"/>
        <w:ind w:left="720" w:hanging="720"/>
      </w:pPr>
      <w:r>
        <w:t xml:space="preserve">Bureau of Indian Affairs. (2022b). </w:t>
      </w:r>
      <w:r>
        <w:rPr>
          <w:i/>
        </w:rPr>
        <w:t>52 IAM 9-H: Rights-of-way (ROW) on Indian lands handbook</w:t>
      </w:r>
      <w:r>
        <w:t>. https://www.bia.gov/policy-forms/handbooks/52-iam-9-h-rights-way-row-indian-lands-handbook</w:t>
      </w:r>
    </w:p>
    <w:p>
      <w:pPr>
        <w:spacing w:line="480" w:lineRule="auto" w:after="0"/>
        <w:ind w:left="720" w:hanging="720"/>
      </w:pPr>
      <w:r>
        <w:t xml:space="preserve">Bureau of Indian Affairs. (2025). </w:t>
      </w:r>
      <w:r>
        <w:rPr>
          <w:i/>
        </w:rPr>
        <w:t>NPM-TRUS-48: Streamlining the rights-of-way application processes for broadband infrastructure projects across Indian trust and restricted land</w:t>
      </w:r>
      <w:r>
        <w:t>. https://www.bia.gov/sites/default/files/dup/assets/public/raca/national_policy_memoranda/pdf/npm-trus-48_streamlining-rows-broadband_final_signed_508.pdf</w:t>
      </w:r>
    </w:p>
    <w:p>
      <w:pPr>
        <w:spacing w:line="480" w:lineRule="auto" w:after="0"/>
        <w:ind w:left="720" w:hanging="720"/>
      </w:pPr>
      <w:r>
        <w:t xml:space="preserve">National Telecommunications and Information Administration. (2022, August 9). </w:t>
      </w:r>
      <w:r>
        <w:rPr>
          <w:i/>
        </w:rPr>
        <w:t>NTIA and BIA sign agreement to streamline environmental permitting for high-speed internet projects on tribal lands</w:t>
      </w:r>
      <w:r>
        <w:t>. https://broadbandusa.ntia.gov/news/latest-news/ntia-and-bia-sign-agreement-streamline-environmental-permitting-high-speed</w:t>
      </w:r>
    </w:p>
    <w:p>
      <w:pPr>
        <w:spacing w:line="480" w:lineRule="auto" w:after="0"/>
        <w:ind w:left="720" w:hanging="720"/>
      </w:pPr>
      <w:r>
        <w:t xml:space="preserve">National Telecommunications and Information Administration. (2024). </w:t>
      </w:r>
      <w:r>
        <w:rPr>
          <w:i/>
        </w:rPr>
        <w:t>Notice of newly adopted NEPA categorical exclusions</w:t>
      </w:r>
      <w:r>
        <w:t>. https://broadbandusa.ntia.gov/funding-programs/policies-waivers/Notice_of_Newly_Adopted_NEPA_Categorical_Exclusions</w:t>
      </w:r>
    </w:p>
    <w:p>
      <w:pPr>
        <w:spacing w:line="480" w:lineRule="auto" w:after="0"/>
        <w:ind w:left="720" w:hanging="720"/>
      </w:pPr>
      <w:r>
        <w:t>Rights-of-Way on Indian Land, 25 C.F.R. pt. 169 (2026). https://www.ecfr.gov/current/title-25/chapter-I/subchapter-H/part-169</w:t>
      </w:r>
    </w:p>
    <w:p>
      <w:pPr>
        <w:spacing w:line="480" w:lineRule="auto" w:after="0"/>
        <w:ind w:left="720" w:hanging="720"/>
      </w:pPr>
      <w:r>
        <w:t>Rights-of-Way on Indian Land, 80 Fed. Reg. 72492 (November 19, 2015). https://www.federalregister.gov/documents/2015/11/19/2015-28548/rights-of-way-on-indian-land</w:t>
      </w:r>
    </w:p>
    <w:p>
      <w:pPr>
        <w:spacing w:line="480" w:lineRule="auto" w:after="0"/>
        <w:ind w:left="720" w:hanging="720"/>
      </w:pPr>
      <w:r>
        <w:t>Rights-of-Way on Indian Land, 81 Fed. Reg. 14976 (March 21, 2016). https://www.gpo.gov/fdsys/pkg/FR-2016-03-21/html/2016-06269.htm</w:t>
      </w:r>
    </w:p>
    <w:p>
      <w:pPr>
        <w:spacing w:line="480" w:lineRule="auto" w:after="0"/>
        <w:ind w:left="720" w:hanging="720"/>
      </w:pPr>
      <w:r>
        <w:t>Rights-of-Way on Indian Land; Bond Exemption, 84 Fed. Reg. 42806 (August 19, 2019). https://www.govinfo.gov/content/pkg/FR-2019-08-19/html/2019-17781.htm</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elvetica" w:hAnsi="Helvetica" w:cs="Helvetica" w:eastAsia="Helvetica"/>
        <w:b w:val="0"/>
        <w:sz w:val="18"/>
      </w:rPr>
      <w:t>Numu Communications Learning Center  |  www.numu.tech/resources  |  Free to use and adapt; please keep this credit.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240" w:line="240" w:lineRule="auto"/>
      <w:jc w:val="left"/>
    </w:pPr>
    <w:rPr>
      <w:rFonts w:ascii="Helvetica" w:hAnsi="Helvetica" w:cs="Helvetica" w:eastAsia="Helvetica"/>
      <w:b w:val="0"/>
      <w:i w:val="0"/>
      <w:color w:val="14233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40" w:line="240" w:lineRule="auto"/>
      <w:jc w:val="left"/>
      <w:outlineLvl w:val="0"/>
    </w:pPr>
    <w:rPr>
      <w:rFonts w:asciiTheme="majorHAnsi" w:eastAsiaTheme="majorEastAsia" w:hAnsiTheme="majorHAnsi" w:cstheme="majorBidi" w:ascii="Helvetica" w:hAnsi="Helvetica" w:cs="Helvetica" w:eastAsia="Helvetica"/>
      <w:b/>
      <w:bCs/>
      <w:i w:val="0"/>
      <w:color w:val="006B31"/>
      <w:sz w:val="24"/>
      <w:szCs w:val="28"/>
    </w:rPr>
  </w:style>
  <w:style w:type="paragraph" w:styleId="Heading2">
    <w:name w:val="heading 2"/>
    <w:basedOn w:val="Normal"/>
    <w:next w:val="Normal"/>
    <w:link w:val="Heading2Char"/>
    <w:uiPriority w:val="9"/>
    <w:unhideWhenUsed/>
    <w:qFormat/>
    <w:rsid w:val="00FC693F"/>
    <w:pPr>
      <w:keepNext/>
      <w:keepLines/>
      <w:spacing w:before="0" w:after="240" w:line="240" w:lineRule="auto"/>
      <w:jc w:val="left"/>
      <w:outlineLvl w:val="1"/>
    </w:pPr>
    <w:rPr>
      <w:rFonts w:asciiTheme="majorHAnsi" w:eastAsiaTheme="majorEastAsia" w:hAnsiTheme="majorHAnsi" w:cstheme="majorBidi" w:ascii="Helvetica Light" w:hAnsi="Helvetica Light" w:cs="Helvetica Light" w:eastAsia="Helvetica Light"/>
      <w:b/>
      <w:bCs/>
      <w:i w:val="0"/>
      <w:color w:val="1423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before="0"/>
      <w:contextualSpacing/>
      <w:jc w:val="center"/>
    </w:pPr>
    <w:rPr>
      <w:rFonts w:asciiTheme="majorHAnsi" w:eastAsiaTheme="majorEastAsia" w:hAnsiTheme="majorHAnsi" w:cstheme="majorBidi" w:ascii="Helvetica" w:hAnsi="Helvetica" w:cs="Helvetica" w:eastAsia="Helvetica"/>
      <w:b/>
      <w:i w:val="0"/>
      <w:color w:val="006B31"/>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240" w:line="240" w:lineRule="auto"/>
      <w:contextualSpacing/>
      <w:jc w:val="left"/>
    </w:pPr>
    <w:rPr>
      <w:rFonts w:ascii="Helvetica" w:hAnsi="Helvetica" w:cs="Helvetica" w:eastAsia="Helvetica"/>
      <w:b w:val="0"/>
      <w:i w:val="0"/>
      <w:color w:val="14233A"/>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0" w:after="240" w:line="240" w:lineRule="auto"/>
      <w:contextualSpacing/>
      <w:jc w:val="left"/>
    </w:pPr>
    <w:rPr>
      <w:rFonts w:ascii="Helvetica" w:hAnsi="Helvetica" w:cs="Helvetica" w:eastAsia="Helvetica"/>
      <w:b w:val="0"/>
      <w:i w:val="0"/>
      <w:color w:val="14233A"/>
      <w:sz w:val="24"/>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