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Council Briefing: Why Our Map Matters</w:t>
      </w:r>
    </w:p>
    <w:p>
      <w:pPr>
        <w:jc w:val="center"/>
      </w:pPr>
      <w:r>
        <w:t>Prepared by: ________________   Date: ____________</w:t>
      </w:r>
    </w:p>
    <w:p>
      <w:pPr>
        <w:pStyle w:val="Heading1"/>
      </w:pPr>
      <w:r>
        <w:t>The short version</w:t>
      </w:r>
    </w:p>
    <w:p>
      <w:r>
        <w:t>Federal internet funding starts from the FCC (Federal Communications Commission) National Broadband Map. When our homes are missing, misplaced, or shown as served when they are not, our community can be left out. The FCC lets Tribal governments check the map and file challenges to fix it. Staff ask Council to authorize them to register with the FCC and file those challenges.</w:t>
      </w:r>
    </w:p>
    <w:p>
      <w:pPr>
        <w:pStyle w:val="Heading1"/>
      </w:pPr>
      <w:r>
        <w:t>What the map is</w:t>
      </w:r>
    </w:p>
    <w:p>
      <w:pPr>
        <w:pStyle w:val="ListBullet"/>
        <w:spacing w:after="80"/>
      </w:pPr>
      <w:r>
        <w:t>The Broadband DATA Act (Public Law 116-130, 2020) told the FCC to build a more accurate map. It is published at broadbandmap.fcc.gov.</w:t>
      </w:r>
    </w:p>
    <w:p>
      <w:pPr>
        <w:pStyle w:val="ListBullet"/>
        <w:spacing w:after="80"/>
      </w:pPr>
      <w:r>
        <w:t>The Fabric is a map of every home and business where internet could be installed. Each one is a dot with an FCC Location ID.</w:t>
      </w:r>
    </w:p>
    <w:p>
      <w:pPr>
        <w:pStyle w:val="ListBullet"/>
        <w:spacing w:after="240"/>
      </w:pPr>
      <w:r>
        <w:t>Internet providers report what they offer at each dot twice a year, by March 1 and September 1. Cell coverage comes from the companies' computer models.</w:t>
      </w:r>
    </w:p>
    <w:p>
      <w:pPr>
        <w:pStyle w:val="Heading1"/>
      </w:pPr>
      <w:r>
        <w:t>Why it matters to our Nation</w:t>
      </w:r>
    </w:p>
    <w:p>
      <w:pPr>
        <w:pStyle w:val="ListBullet"/>
        <w:spacing w:after="80"/>
      </w:pPr>
      <w:r>
        <w:t>The BEAD (Broadband Equity, Access, and Deployment) program started from this map. BEAD could not add or remove Fabric locations, so a missing home has to be fixed with the FCC.</w:t>
      </w:r>
    </w:p>
    <w:p>
      <w:pPr>
        <w:pStyle w:val="ListBullet"/>
        <w:spacing w:after="80"/>
      </w:pPr>
      <w:r>
        <w:t>In 2022, the GAO (Government Accountability Office) reported that more than 18% of people on tribal lands had no broadband service as of 2020, compared with about 4% elsewhere.</w:t>
      </w:r>
    </w:p>
    <w:p>
      <w:pPr>
        <w:pStyle w:val="ListBullet"/>
        <w:spacing w:after="80"/>
      </w:pPr>
      <w:r>
        <w:t>In 2018, the GAO found that the FCC's older data overstated internet access on tribal lands.</w:t>
      </w:r>
    </w:p>
    <w:p>
      <w:pPr>
        <w:pStyle w:val="ListBullet"/>
        <w:spacing w:after="240"/>
      </w:pPr>
      <w:r>
        <w:t>The Native Nations Communications Task Force noted that some Tribes lack street names and home addresses, and recommended maps "be based upon actual reports from Tribes."</w:t>
      </w:r>
    </w:p>
    <w:p>
      <w:pPr>
        <w:pStyle w:val="Heading1"/>
      </w:pPr>
      <w:r>
        <w:t>What is often wrong</w:t>
      </w:r>
    </w:p>
    <w:p>
      <w:pPr>
        <w:pStyle w:val="ListBullet"/>
        <w:spacing w:after="80"/>
      </w:pPr>
      <w:r>
        <w:t>Homes with no street address are missing or placed badly.</w:t>
      </w:r>
    </w:p>
    <w:p>
      <w:pPr>
        <w:pStyle w:val="ListBullet"/>
        <w:spacing w:after="80"/>
      </w:pPr>
      <w:r>
        <w:t>Dots sit on sheds, barns, or roads instead of homes.</w:t>
      </w:r>
    </w:p>
    <w:p>
      <w:pPr>
        <w:pStyle w:val="ListBullet"/>
        <w:spacing w:after="80"/>
      </w:pPr>
      <w:r>
        <w:t>Providers claim service that families cannot actually get.</w:t>
      </w:r>
    </w:p>
    <w:p>
      <w:pPr>
        <w:pStyle w:val="ListBullet"/>
        <w:spacing w:after="240"/>
      </w:pPr>
      <w:r>
        <w:t>The map shows cell coverage where phones have no signal.</w:t>
      </w:r>
    </w:p>
    <w:p>
      <w:pPr>
        <w:pStyle w:val="Heading1"/>
      </w:pPr>
      <w:r>
        <w:t>What staff propose</w:t>
      </w:r>
    </w:p>
    <w:p>
      <w:pPr>
        <w:pStyle w:val="ListNumber"/>
        <w:spacing w:after="80"/>
      </w:pPr>
      <w:r>
        <w:t>Register in the FCC BDC (Broadband Data Collection) system as a Tribal governmental entity. This comes with a free Tier 2 Fabric license made for Tribal entities.</w:t>
      </w:r>
    </w:p>
    <w:p>
      <w:pPr>
        <w:pStyle w:val="ListNumber"/>
        <w:spacing w:after="80"/>
      </w:pPr>
      <w:r>
        <w:t>Check homes door to door with a consent form, keeping the data under tribal control.</w:t>
      </w:r>
    </w:p>
    <w:p>
      <w:pPr>
        <w:pStyle w:val="ListNumber"/>
        <w:spacing w:after="80"/>
      </w:pPr>
      <w:r>
        <w:t>Compare our address records with the FCC map, then file bulk location and availability challenges.</w:t>
      </w:r>
    </w:p>
    <w:p>
      <w:pPr>
        <w:pStyle w:val="ListNumber"/>
        <w:spacing w:after="80"/>
      </w:pPr>
      <w:r>
        <w:t>Track every challenge and recheck the map each time it updates, every six months.</w:t>
      </w:r>
    </w:p>
    <w:p>
      <w:pPr>
        <w:pStyle w:val="ListNumber"/>
        <w:spacing w:after="240"/>
      </w:pPr>
      <w:r>
        <w:t>Report results to Council twice a year.</w:t>
      </w:r>
    </w:p>
    <w:p>
      <w:pPr>
        <w:pStyle w:val="Heading1"/>
      </w:pPr>
      <w:r>
        <w:t>Things to know</w:t>
      </w:r>
    </w:p>
    <w:p>
      <w:pPr>
        <w:pStyle w:val="ListBullet"/>
        <w:spacing w:after="80"/>
      </w:pPr>
      <w:r>
        <w:t>Government and bulk challengers must show clear and convincing evidence, so good records matter.</w:t>
      </w:r>
    </w:p>
    <w:p>
      <w:pPr>
        <w:pStyle w:val="ListBullet"/>
        <w:spacing w:after="80"/>
      </w:pPr>
      <w:r>
        <w:t>The Fabric license does not allow the data to be used for mailing lists or marketing.</w:t>
      </w:r>
    </w:p>
    <w:p>
      <w:pPr>
        <w:pStyle w:val="ListBullet"/>
        <w:spacing w:after="80"/>
      </w:pPr>
      <w:r>
        <w:t>In 2026 the FCC changed some challenge rules and proposed shorter timelines. Staff will watch for final rules and tell Council.</w:t>
      </w:r>
    </w:p>
    <w:p>
      <w:pPr>
        <w:pStyle w:val="ListBullet"/>
        <w:spacing w:after="240"/>
      </w:pPr>
      <w:r>
        <w:t>This briefing is general information, not legal advice.</w:t>
      </w:r>
    </w:p>
    <w:p>
      <w:pPr>
        <w:pStyle w:val="Heading1"/>
      </w:pPr>
      <w:r>
        <w:t>Decision requested</w:t>
      </w:r>
    </w:p>
    <w:p>
      <w:r>
        <w:t>Adopt a resolution authorizing staff to register the Tribe with the FCC, accept the Fabric license, and file map challenges on the Tribe's behalf. A sample follows.</w:t>
      </w:r>
    </w:p>
    <w:p>
      <w:r>
        <w:br w:type="page"/>
      </w:r>
    </w:p>
    <w:p>
      <w:pPr>
        <w:pStyle w:val="Title"/>
      </w:pPr>
      <w:r>
        <w:t>SAMPLE RESOLUTION</w:t>
      </w:r>
    </w:p>
    <w:p>
      <w:r>
        <w:rPr>
          <w:b/>
        </w:rPr>
        <w:t>Sample only. This is a starting point, not legal advice. Adapt it with tribal legal counsel to fit your constitution, codes, and procedures before use.</w:t>
      </w:r>
    </w:p>
    <w:p>
      <w:r>
        <w:t>RESOLUTION NO. ____________</w:t>
      </w:r>
    </w:p>
    <w:p>
      <w:r>
        <w:t>A resolution of the ______________________ [Tribal Council] authorizing staff to register with the Federal Communications Commission and to file challenges to the National Broadband Map.</w:t>
      </w:r>
    </w:p>
    <w:p>
      <w:r>
        <w:t>WHEREAS, the ______________________ [Tribe] is a federally recognized Indian Tribe, and the [Tribal Council] is its governing body under ______________________ [constitution or governing document]; and</w:t>
      </w:r>
    </w:p>
    <w:p>
      <w:r>
        <w:t>WHEREAS, the Federal Communications Commission (FCC) publishes a National Broadband Map, and federal broadband funding programs rely on that map; and</w:t>
      </w:r>
    </w:p>
    <w:p>
      <w:r>
        <w:t>WHEREAS, the map may not accurately show the homes and businesses on our lands or the internet service actually available to them; and</w:t>
      </w:r>
    </w:p>
    <w:p>
      <w:r>
        <w:t>WHEREAS, FCC rules allow Tribal governmental entities to file location, availability, and mobile challenges to correct the map, individually and in bulk; and</w:t>
      </w:r>
    </w:p>
    <w:p>
      <w:r>
        <w:t>WHEREAS, the [Tribe] holds that information about its members and lands is subject to tribal data sovereignty;</w:t>
      </w:r>
    </w:p>
    <w:p>
      <w:r>
        <w:t>NOW, THEREFORE, BE IT RESOLVED that the [Tribal Council] authorizes ______________________ [title or department] to register the [Tribe] in the FCC Broadband Data Collection system as a Tribal governmental entity and to accept the Fabric license agreement on the [Tribe]'s behalf; and</w:t>
      </w:r>
    </w:p>
    <w:p>
      <w:r>
        <w:t>BE IT FURTHER RESOLVED that staff are authorized to collect information to check the map, with the consent of households, and to prepare, certify, and file location, availability, and mobile challenges with the FCC; and</w:t>
      </w:r>
    </w:p>
    <w:p>
      <w:r>
        <w:t>BE IT FURTHER RESOLVED that information collected under this resolution belongs to the [Tribe], will be stored securely, and will be shared with the FCC only as needed to support a challenge; and</w:t>
      </w:r>
    </w:p>
    <w:p>
      <w:r>
        <w:t>BE IT FINALLY RESOLVED that staff will report to the [Tribal Council] on the status of map challenges at least twice each year.</w:t>
      </w:r>
    </w:p>
    <w:p>
      <w:pPr>
        <w:pStyle w:val="Heading2"/>
      </w:pPr>
      <w:r>
        <w:t>Certification</w:t>
      </w:r>
    </w:p>
    <w:p>
      <w:r>
        <w:t>I certify that this resolution was adopted by the [Tribal Council] at a duly called meeting on ______________, with a quorum present, by a vote of ____ for, ____ against, and ____ abstaining.</w:t>
      </w:r>
    </w:p>
    <w:tbl>
      <w:tblPr>
        <w:tblStyle w:val="TableGrid"/>
        <w:tblW w:type="auto" w:w="0"/>
        <w:jc w:val="center"/>
        <w:tblLayout w:type="fixed"/>
        <w:tblLook w:firstColumn="1" w:firstRow="1" w:lastColumn="0" w:lastRow="0" w:noHBand="0" w:noVBand="1" w:val="04A0"/>
        <w:tblLayout w:type="fixed"/>
      </w:tblPr>
      <w:tblGrid>
        <w:gridCol w:w="3600"/>
        <w:gridCol w:w="3600"/>
        <w:gridCol w:w="2160"/>
      </w:tblGrid>
      <w:tr>
        <w:trPr>
          <w:tblHeader w:val="true"/>
        </w:trPr>
        <w:tc>
          <w:tcPr>
            <w:tcW w:type="dxa" w:w="3600"/>
          </w:tcPr>
          <w:p>
            <w:pPr>
              <w:spacing w:after="0"/>
              <w:jc w:val="center"/>
            </w:pPr>
            <w:r/>
            <w:r>
              <w:rPr>
                <w:rFonts w:ascii="Helvetica" w:hAnsi="Helvetica" w:cs="Helvetica" w:eastAsia="Helvetica"/>
                <w:b/>
                <w:sz w:val="22"/>
              </w:rPr>
              <w:t>Chairperson</w:t>
            </w:r>
          </w:p>
        </w:tc>
        <w:tc>
          <w:tcPr>
            <w:tcW w:type="dxa" w:w="3600"/>
          </w:tcPr>
          <w:p>
            <w:pPr>
              <w:spacing w:after="0"/>
              <w:jc w:val="center"/>
            </w:pPr>
            <w:r/>
            <w:r>
              <w:rPr>
                <w:rFonts w:ascii="Helvetica" w:hAnsi="Helvetica" w:cs="Helvetica" w:eastAsia="Helvetica"/>
                <w:b/>
                <w:sz w:val="22"/>
              </w:rPr>
              <w:t>Secretary</w:t>
            </w:r>
          </w:p>
        </w:tc>
        <w:tc>
          <w:tcPr>
            <w:tcW w:type="dxa" w:w="2160"/>
          </w:tcPr>
          <w:p>
            <w:pPr>
              <w:spacing w:after="0"/>
              <w:jc w:val="center"/>
            </w:pPr>
            <w:r/>
            <w:r>
              <w:rPr>
                <w:rFonts w:ascii="Helvetica" w:hAnsi="Helvetica" w:cs="Helvetica" w:eastAsia="Helvetica"/>
                <w:b/>
                <w:sz w:val="22"/>
              </w:rPr>
              <w:t>Date</w:t>
            </w:r>
          </w:p>
        </w:tc>
      </w:tr>
      <w:tr>
        <w:trPr>
          <w:trHeight w:val="720" w:hRule="atLeast"/>
        </w:trPr>
        <w:tc>
          <w:tcPr>
            <w:tcW w:type="dxa" w:w="3600"/>
          </w:tcPr>
          <w:p>
            <w:pPr>
              <w:spacing w:after="0"/>
            </w:pPr>
            <w:r/>
            <w:r>
              <w:rPr>
                <w:rFonts w:ascii="Helvetica" w:hAnsi="Helvetica" w:cs="Helvetica" w:eastAsia="Helvetica"/>
                <w:b w:val="0"/>
                <w:sz w:val="22"/>
              </w:rPr>
            </w:r>
          </w:p>
        </w:tc>
        <w:tc>
          <w:tcPr>
            <w:tcW w:type="dxa" w:w="3600"/>
          </w:tcPr>
          <w:p>
            <w:pPr>
              <w:spacing w:after="0"/>
            </w:pPr>
            <w:r/>
            <w:r>
              <w:rPr>
                <w:rFonts w:ascii="Helvetica" w:hAnsi="Helvetica" w:cs="Helvetica" w:eastAsia="Helvetica"/>
                <w:b w:val="0"/>
                <w:sz w:val="22"/>
              </w:rPr>
            </w:r>
          </w:p>
        </w:tc>
        <w:tc>
          <w:tcPr>
            <w:tcW w:type="dxa" w:w="2160"/>
          </w:tcPr>
          <w:p>
            <w:pPr>
              <w:spacing w:after="0"/>
            </w:pPr>
            <w:r/>
            <w:r>
              <w:rPr>
                <w:rFonts w:ascii="Helvetica" w:hAnsi="Helvetica" w:cs="Helvetica" w:eastAsia="Helvetica"/>
                <w:b w:val="0"/>
                <w:sz w:val="22"/>
              </w:rPr>
            </w:r>
          </w:p>
        </w:tc>
      </w:tr>
    </w:tbl>
    <w:p>
      <w:pPr>
        <w:spacing w:after="0"/>
      </w:pPr>
    </w:p>
    <w:p>
      <w:pPr>
        <w:pStyle w:val="Title"/>
      </w:pPr>
      <w:r>
        <w:t>References</w:t>
      </w:r>
    </w:p>
    <w:p>
      <w:pPr>
        <w:spacing w:line="480" w:lineRule="auto" w:after="0"/>
        <w:ind w:left="720" w:hanging="720"/>
      </w:pPr>
      <w:r>
        <w:t xml:space="preserve">Benton Institute for Broadband &amp; Society. (2026, May 4). </w:t>
      </w:r>
      <w:r>
        <w:rPr>
          <w:i/>
        </w:rPr>
        <w:t>The FCC is proposing changes in how it maps the digital divide</w:t>
      </w:r>
      <w:r>
        <w:t>. https://www.benton.org/blog/fcc-proposing-changes-how-it-maps-digital-divide</w:t>
      </w:r>
    </w:p>
    <w:p>
      <w:pPr>
        <w:spacing w:line="480" w:lineRule="auto" w:after="0"/>
        <w:ind w:left="720" w:hanging="720"/>
      </w:pPr>
      <w:r>
        <w:t>Broadband DATA Act, Pub. L. No. 116-130, 134 Stat. 228 (2020). https://www.congress.gov/116/plaws/publ130/PLAW-116publ130.pdf</w:t>
      </w:r>
    </w:p>
    <w:p>
      <w:pPr>
        <w:spacing w:line="480" w:lineRule="auto" w:after="0"/>
        <w:ind w:left="720" w:hanging="720"/>
      </w:pPr>
      <w:r>
        <w:t>Data verification, 47 C.F.R. § 1.7006 (2026). https://www.ecfr.gov/current/title-47/chapter-I/subchapter-A/part-1/subpart-V/section-1.7006</w:t>
      </w:r>
    </w:p>
    <w:p>
      <w:pPr>
        <w:spacing w:line="480" w:lineRule="auto" w:after="0"/>
        <w:ind w:left="720" w:hanging="720"/>
      </w:pPr>
      <w:r>
        <w:t xml:space="preserve">Federal Communications Commission. (n.d.). </w:t>
      </w:r>
      <w:r>
        <w:rPr>
          <w:i/>
        </w:rPr>
        <w:t>FAQs for government entities</w:t>
      </w:r>
      <w:r>
        <w:t>. BDC Help Center. https://help.bdc.fcc.gov/hc/en-us/articles/9535892839195-FAQs-for-Government-Entities</w:t>
      </w:r>
    </w:p>
    <w:p>
      <w:pPr>
        <w:spacing w:line="480" w:lineRule="auto" w:after="0"/>
        <w:ind w:left="720" w:hanging="720"/>
      </w:pPr>
      <w:r>
        <w:t xml:space="preserve">Federal Communications Commission. (2026). </w:t>
      </w:r>
      <w:r>
        <w:rPr>
          <w:i/>
        </w:rPr>
        <w:t>Establishing the Digital Opportunity Data Collection; Modernizing the FCC Form 477 Data Program</w:t>
      </w:r>
      <w:r>
        <w:t xml:space="preserve"> (Sixth Report and Order and Fifth Further Notice of Proposed Rulemaking, FCC 26-33). https://docs.fcc.gov/public/attachments/FCC-26-33A1.pdf</w:t>
      </w:r>
    </w:p>
    <w:p>
      <w:pPr>
        <w:spacing w:line="480" w:lineRule="auto" w:after="0"/>
        <w:ind w:left="720" w:hanging="720"/>
      </w:pPr>
      <w:r>
        <w:t xml:space="preserve">National Telecommunications and Information Administration. (n.d.). </w:t>
      </w:r>
      <w:r>
        <w:rPr>
          <w:i/>
        </w:rPr>
        <w:t>BEAD challenge process policy notice</w:t>
      </w:r>
      <w:r>
        <w:t>. https://www.ntia.gov/sites/default/files/publications/bead_challenge_process_policy_notice_final.pdf</w:t>
      </w:r>
    </w:p>
    <w:p>
      <w:pPr>
        <w:spacing w:line="480" w:lineRule="auto" w:after="0"/>
        <w:ind w:left="720" w:hanging="720"/>
      </w:pPr>
      <w:r>
        <w:t xml:space="preserve">Native Nations Communications Task Force. (2019). </w:t>
      </w:r>
      <w:r>
        <w:rPr>
          <w:i/>
        </w:rPr>
        <w:t>Improving and increasing broadband deployment on Tribal lands</w:t>
      </w:r>
      <w:r>
        <w:t>. Federal Communications Commission. https://www.fcc.gov/sites/default/files/nnctf_tribal_broadband_report.pdf</w:t>
      </w:r>
    </w:p>
    <w:p>
      <w:pPr>
        <w:spacing w:line="480" w:lineRule="auto" w:after="0"/>
        <w:ind w:left="720" w:hanging="720"/>
      </w:pPr>
      <w:r>
        <w:t xml:space="preserve">U.S. Government Accountability Office. (2018). </w:t>
      </w:r>
      <w:r>
        <w:rPr>
          <w:i/>
        </w:rPr>
        <w:t>Broadband internet: FCC's data overstate access on tribal lands</w:t>
      </w:r>
      <w:r>
        <w:t xml:space="preserve"> (GAO-18-630). https://www.gao.gov/products/gao-18-630</w:t>
      </w:r>
    </w:p>
    <w:p>
      <w:pPr>
        <w:spacing w:line="480" w:lineRule="auto" w:after="0"/>
        <w:ind w:left="720" w:hanging="720"/>
      </w:pPr>
      <w:r>
        <w:t xml:space="preserve">U.S. Government Accountability Office. (2022). </w:t>
      </w:r>
      <w:r>
        <w:rPr>
          <w:i/>
        </w:rPr>
        <w:t>Tribal broadband: National strategy and coordination framework needed to increase access</w:t>
      </w:r>
      <w:r>
        <w:t xml:space="preserve"> (GAO-22-104421). https://www.gao.gov/products/gao-22-104421</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Helvetica" w:hAnsi="Helvetica" w:cs="Helvetica" w:eastAsia="Helvetica"/>
        <w:b w:val="0"/>
        <w:sz w:val="18"/>
      </w:rPr>
      <w:t>Numu Communications Learning Center  |  www.numu.tech/resources  |  Free to use and adapt; please keep this credit.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240" w:line="240" w:lineRule="auto"/>
      <w:jc w:val="left"/>
    </w:pPr>
    <w:rPr>
      <w:rFonts w:ascii="Helvetica" w:hAnsi="Helvetica" w:cs="Helvetica" w:eastAsia="Helvetica"/>
      <w:b w:val="0"/>
      <w:i w:val="0"/>
      <w:color w:val="14233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40" w:lineRule="auto"/>
      <w:jc w:val="left"/>
      <w:outlineLvl w:val="0"/>
    </w:pPr>
    <w:rPr>
      <w:rFonts w:asciiTheme="majorHAnsi" w:eastAsiaTheme="majorEastAsia" w:hAnsiTheme="majorHAnsi" w:cstheme="majorBidi" w:ascii="Helvetica" w:hAnsi="Helvetica" w:cs="Helvetica" w:eastAsia="Helvetica"/>
      <w:b/>
      <w:bCs/>
      <w:i w:val="0"/>
      <w:color w:val="006B31"/>
      <w:sz w:val="24"/>
      <w:szCs w:val="28"/>
    </w:rPr>
  </w:style>
  <w:style w:type="paragraph" w:styleId="Heading2">
    <w:name w:val="heading 2"/>
    <w:basedOn w:val="Normal"/>
    <w:next w:val="Normal"/>
    <w:link w:val="Heading2Char"/>
    <w:uiPriority w:val="9"/>
    <w:unhideWhenUsed/>
    <w:qFormat/>
    <w:rsid w:val="00FC693F"/>
    <w:pPr>
      <w:keepNext/>
      <w:keepLines/>
      <w:spacing w:before="0" w:after="240" w:line="240" w:lineRule="auto"/>
      <w:jc w:val="left"/>
      <w:outlineLvl w:val="1"/>
    </w:pPr>
    <w:rPr>
      <w:rFonts w:asciiTheme="majorHAnsi" w:eastAsiaTheme="majorEastAsia" w:hAnsiTheme="majorHAnsi" w:cstheme="majorBidi" w:ascii="Helvetica Light" w:hAnsi="Helvetica Light" w:cs="Helvetica Light" w:eastAsia="Helvetica Light"/>
      <w:b/>
      <w:bCs/>
      <w:i w:val="0"/>
      <w:color w:val="142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jc w:val="center"/>
    </w:pPr>
    <w:rPr>
      <w:rFonts w:asciiTheme="majorHAnsi" w:eastAsiaTheme="majorEastAsia" w:hAnsiTheme="majorHAnsi" w:cstheme="majorBidi" w:ascii="Helvetica" w:hAnsi="Helvetica" w:cs="Helvetica" w:eastAsia="Helvetica"/>
      <w:b/>
      <w:i w:val="0"/>
      <w:color w:val="006B31"/>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240" w:line="240" w:lineRule="auto"/>
      <w:contextualSpacing/>
      <w:jc w:val="left"/>
    </w:pPr>
    <w:rPr>
      <w:rFonts w:ascii="Helvetica" w:hAnsi="Helvetica" w:cs="Helvetica" w:eastAsia="Helvetica"/>
      <w:b w:val="0"/>
      <w:i w:val="0"/>
      <w:color w:val="14233A"/>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240" w:line="240" w:lineRule="auto"/>
      <w:contextualSpacing/>
      <w:jc w:val="left"/>
    </w:pPr>
    <w:rPr>
      <w:rFonts w:ascii="Helvetica" w:hAnsi="Helvetica" w:cs="Helvetica" w:eastAsia="Helvetica"/>
      <w:b w:val="0"/>
      <w:i w:val="0"/>
      <w:color w:val="14233A"/>
      <w:sz w:val="24"/>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